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Default Extension="png" ContentType="image/png"/>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63"/>
        <w:rPr>
          <w:rFonts w:ascii="Times New Roman"/>
          <w:sz w:val="20"/>
        </w:rPr>
      </w:pPr>
      <w:r>
        <w:rPr>
          <w:rFonts w:ascii="Times New Roman"/>
          <w:sz w:val="20"/>
        </w:rPr>
        <w:pict>
          <v:group style="width:436.45pt;height:57.5pt;mso-position-horizontal-relative:char;mso-position-vertical-relative:line" coordorigin="0,0" coordsize="8729,1150">
            <v:shape style="position:absolute;left:0;top:0;width:1116;height:1121" type="#_x0000_t75" stroked="false">
              <v:imagedata r:id="rId6" o:title=""/>
            </v:shape>
            <v:line style="position:absolute" from="410,1080" to="8700,1080" stroked="true" strokeweight="1.409904pt" strokecolor="#00af4f">
              <v:stroke dashstyle="solid"/>
            </v:line>
            <v:shape style="position:absolute;left:7543;top:38;width:1186;height:1112" type="#_x0000_t75" stroked="false">
              <v:imagedata r:id="rId7" o:title=""/>
            </v:shape>
            <v:shape style="position:absolute;left:1665;top:185;width:3533;height:208" type="#_x0000_t202" filled="false" stroked="false">
              <v:textbox inset="0,0,0,0">
                <w:txbxContent>
                  <w:p>
                    <w:pPr>
                      <w:spacing w:line="208" w:lineRule="exact" w:before="0"/>
                      <w:ind w:left="0" w:right="0" w:firstLine="0"/>
                      <w:jc w:val="left"/>
                      <w:rPr>
                        <w:rFonts w:ascii="Calibri"/>
                        <w:b/>
                        <w:sz w:val="20"/>
                      </w:rPr>
                    </w:pPr>
                    <w:r>
                      <w:rPr>
                        <w:rFonts w:ascii="Calibri"/>
                        <w:b/>
                        <w:color w:val="006FC0"/>
                        <w:sz w:val="20"/>
                        <w:u w:val="single" w:color="006FC0"/>
                      </w:rPr>
                      <w:t>https://doi.org/10.47430/ujmr.2161.006</w:t>
                    </w:r>
                  </w:p>
                </w:txbxContent>
              </v:textbox>
              <w10:wrap type="none"/>
            </v:shape>
            <v:shape style="position:absolute;left:1281;top:671;width:2547;height:269" type="#_x0000_t202" filled="false" stroked="false">
              <v:textbox inset="0,0,0,0">
                <w:txbxContent>
                  <w:p>
                    <w:pPr>
                      <w:spacing w:before="12"/>
                      <w:ind w:left="0" w:right="0" w:firstLine="0"/>
                      <w:jc w:val="left"/>
                      <w:rPr>
                        <w:b/>
                        <w:sz w:val="20"/>
                      </w:rPr>
                    </w:pPr>
                    <w:r>
                      <w:rPr>
                        <w:b/>
                        <w:w w:val="105"/>
                        <w:sz w:val="22"/>
                      </w:rPr>
                      <w:t>Received:</w:t>
                    </w:r>
                    <w:r>
                      <w:rPr>
                        <w:b/>
                        <w:spacing w:val="-54"/>
                        <w:w w:val="105"/>
                        <w:sz w:val="22"/>
                      </w:rPr>
                      <w:t> </w:t>
                    </w:r>
                    <w:r>
                      <w:rPr>
                        <w:b/>
                        <w:w w:val="105"/>
                        <w:sz w:val="20"/>
                      </w:rPr>
                      <w:t>12</w:t>
                    </w:r>
                    <w:r>
                      <w:rPr>
                        <w:b/>
                        <w:w w:val="105"/>
                        <w:sz w:val="20"/>
                        <w:vertAlign w:val="superscript"/>
                      </w:rPr>
                      <w:t>th</w:t>
                    </w:r>
                    <w:r>
                      <w:rPr>
                        <w:b/>
                        <w:w w:val="105"/>
                        <w:sz w:val="20"/>
                        <w:vertAlign w:val="baseline"/>
                      </w:rPr>
                      <w:t> Feb, 2021</w:t>
                    </w:r>
                  </w:p>
                </w:txbxContent>
              </v:textbox>
              <w10:wrap type="none"/>
            </v:shape>
            <v:shape style="position:absolute;left:4550;top:671;width:2571;height:269" type="#_x0000_t202" filled="false" stroked="false">
              <v:textbox inset="0,0,0,0">
                <w:txbxContent>
                  <w:p>
                    <w:pPr>
                      <w:spacing w:before="12"/>
                      <w:ind w:left="0" w:right="0" w:firstLine="0"/>
                      <w:jc w:val="left"/>
                      <w:rPr>
                        <w:b/>
                        <w:sz w:val="20"/>
                      </w:rPr>
                    </w:pPr>
                    <w:r>
                      <w:rPr>
                        <w:b/>
                        <w:w w:val="105"/>
                        <w:sz w:val="22"/>
                      </w:rPr>
                      <w:t>Accepted:</w:t>
                    </w:r>
                    <w:r>
                      <w:rPr>
                        <w:b/>
                        <w:spacing w:val="-51"/>
                        <w:w w:val="105"/>
                        <w:sz w:val="22"/>
                      </w:rPr>
                      <w:t> </w:t>
                    </w:r>
                    <w:r>
                      <w:rPr>
                        <w:b/>
                        <w:w w:val="105"/>
                        <w:sz w:val="20"/>
                      </w:rPr>
                      <w:t>13</w:t>
                    </w:r>
                    <w:r>
                      <w:rPr>
                        <w:b/>
                        <w:w w:val="105"/>
                        <w:sz w:val="20"/>
                        <w:vertAlign w:val="superscript"/>
                      </w:rPr>
                      <w:t>th</w:t>
                    </w:r>
                    <w:r>
                      <w:rPr>
                        <w:b/>
                        <w:w w:val="105"/>
                        <w:sz w:val="20"/>
                        <w:vertAlign w:val="baseline"/>
                      </w:rPr>
                      <w:t> Mar, 2021</w:t>
                    </w:r>
                  </w:p>
                </w:txbxContent>
              </v:textbox>
              <w10:wrap type="none"/>
            </v:shape>
          </v:group>
        </w:pict>
      </w:r>
      <w:r>
        <w:rPr>
          <w:rFonts w:ascii="Times New Roman"/>
          <w:sz w:val="20"/>
        </w:rPr>
      </w:r>
    </w:p>
    <w:p>
      <w:pPr>
        <w:tabs>
          <w:tab w:pos="6101" w:val="left" w:leader="none"/>
        </w:tabs>
        <w:spacing w:line="244" w:lineRule="auto" w:before="157"/>
        <w:ind w:left="2484" w:right="1133" w:hanging="1344"/>
        <w:jc w:val="left"/>
        <w:rPr>
          <w:b/>
          <w:sz w:val="22"/>
        </w:rPr>
      </w:pPr>
      <w:r>
        <w:rPr>
          <w:b/>
          <w:sz w:val="22"/>
        </w:rPr>
        <w:t>Plasmid  Carriage and ESBL</w:t>
      </w:r>
      <w:r>
        <w:rPr>
          <w:b/>
          <w:spacing w:val="7"/>
          <w:sz w:val="22"/>
        </w:rPr>
        <w:t> </w:t>
      </w:r>
      <w:r>
        <w:rPr>
          <w:b/>
          <w:sz w:val="22"/>
        </w:rPr>
        <w:t>Production</w:t>
      </w:r>
      <w:r>
        <w:rPr>
          <w:b/>
          <w:spacing w:val="20"/>
          <w:sz w:val="22"/>
        </w:rPr>
        <w:t> </w:t>
      </w:r>
      <w:r>
        <w:rPr>
          <w:b/>
          <w:sz w:val="22"/>
        </w:rPr>
        <w:t>among</w:t>
      </w:r>
      <w:r>
        <w:rPr>
          <w:rFonts w:ascii="Times New Roman"/>
          <w:sz w:val="22"/>
        </w:rPr>
        <w:tab/>
      </w:r>
      <w:r>
        <w:rPr>
          <w:b/>
          <w:i/>
          <w:sz w:val="22"/>
        </w:rPr>
        <w:t>Salmonella </w:t>
      </w:r>
      <w:r>
        <w:rPr>
          <w:b/>
          <w:sz w:val="22"/>
        </w:rPr>
        <w:t>Enterica Serovar Typhi from Some Parts of Adamawa State,</w:t>
      </w:r>
      <w:r>
        <w:rPr>
          <w:b/>
          <w:spacing w:val="37"/>
          <w:sz w:val="22"/>
        </w:rPr>
        <w:t> </w:t>
      </w:r>
      <w:r>
        <w:rPr>
          <w:b/>
          <w:sz w:val="22"/>
        </w:rPr>
        <w:t>Nigeria</w:t>
      </w:r>
    </w:p>
    <w:p>
      <w:pPr>
        <w:spacing w:before="218"/>
        <w:ind w:left="2796" w:right="0" w:firstLine="0"/>
        <w:jc w:val="left"/>
        <w:rPr>
          <w:b/>
          <w:sz w:val="20"/>
        </w:rPr>
      </w:pPr>
      <w:r>
        <w:rPr>
          <w:b/>
          <w:w w:val="105"/>
          <w:position w:val="9"/>
          <w:sz w:val="13"/>
        </w:rPr>
        <w:t>* 1 </w:t>
      </w:r>
      <w:r>
        <w:rPr>
          <w:b/>
          <w:w w:val="105"/>
          <w:sz w:val="20"/>
        </w:rPr>
        <w:t>Sale, M., </w:t>
      </w:r>
      <w:r>
        <w:rPr>
          <w:b/>
          <w:w w:val="105"/>
          <w:sz w:val="20"/>
          <w:vertAlign w:val="superscript"/>
        </w:rPr>
        <w:t>1</w:t>
      </w:r>
      <w:r>
        <w:rPr>
          <w:b/>
          <w:w w:val="105"/>
          <w:sz w:val="20"/>
          <w:vertAlign w:val="baseline"/>
        </w:rPr>
        <w:t> Ja’afaru, M. I. and </w:t>
      </w:r>
      <w:r>
        <w:rPr>
          <w:b/>
          <w:w w:val="105"/>
          <w:sz w:val="20"/>
          <w:vertAlign w:val="superscript"/>
        </w:rPr>
        <w:t>2</w:t>
      </w:r>
      <w:r>
        <w:rPr>
          <w:b/>
          <w:w w:val="105"/>
          <w:sz w:val="20"/>
          <w:vertAlign w:val="baseline"/>
        </w:rPr>
        <w:t> Pukuma, S. M.</w:t>
      </w:r>
    </w:p>
    <w:p>
      <w:pPr>
        <w:pStyle w:val="Heading1"/>
        <w:numPr>
          <w:ilvl w:val="0"/>
          <w:numId w:val="1"/>
        </w:numPr>
        <w:tabs>
          <w:tab w:pos="1957" w:val="left" w:leader="none"/>
        </w:tabs>
        <w:spacing w:line="240" w:lineRule="auto" w:before="7" w:after="0"/>
        <w:ind w:left="1956" w:right="0" w:hanging="339"/>
        <w:jc w:val="left"/>
      </w:pPr>
      <w:r>
        <w:rPr>
          <w:w w:val="105"/>
        </w:rPr>
        <w:t>Department of Microbiology Modibbo Adama University of Technology,</w:t>
      </w:r>
      <w:r>
        <w:rPr>
          <w:spacing w:val="-44"/>
          <w:w w:val="105"/>
        </w:rPr>
        <w:t> </w:t>
      </w:r>
      <w:r>
        <w:rPr>
          <w:w w:val="105"/>
        </w:rPr>
        <w:t>Yola</w:t>
      </w:r>
    </w:p>
    <w:p>
      <w:pPr>
        <w:pStyle w:val="ListParagraph"/>
        <w:numPr>
          <w:ilvl w:val="0"/>
          <w:numId w:val="1"/>
        </w:numPr>
        <w:tabs>
          <w:tab w:pos="2142" w:val="left" w:leader="none"/>
        </w:tabs>
        <w:spacing w:line="240" w:lineRule="auto" w:before="8" w:after="0"/>
        <w:ind w:left="2141" w:right="0" w:hanging="339"/>
        <w:jc w:val="left"/>
        <w:rPr>
          <w:sz w:val="20"/>
        </w:rPr>
      </w:pPr>
      <w:r>
        <w:rPr>
          <w:w w:val="105"/>
          <w:sz w:val="20"/>
        </w:rPr>
        <w:t>Department of Zoology, Modibbo Adama University of Technology,</w:t>
      </w:r>
      <w:r>
        <w:rPr>
          <w:spacing w:val="-37"/>
          <w:w w:val="105"/>
          <w:sz w:val="20"/>
        </w:rPr>
        <w:t> </w:t>
      </w:r>
      <w:r>
        <w:rPr>
          <w:w w:val="105"/>
          <w:sz w:val="20"/>
        </w:rPr>
        <w:t>Yola</w:t>
      </w:r>
    </w:p>
    <w:p>
      <w:pPr>
        <w:spacing w:before="8"/>
        <w:ind w:left="2667" w:right="0" w:firstLine="0"/>
        <w:jc w:val="left"/>
        <w:rPr>
          <w:sz w:val="20"/>
        </w:rPr>
      </w:pPr>
      <w:r>
        <w:rPr/>
        <w:pict>
          <v:shape style="position:absolute;margin-left:93.360001pt;margin-top:15.549424pt;width:431.2pt;height:236.8pt;mso-position-horizontal-relative:page;mso-position-vertical-relative:paragraph;z-index:-251654144;mso-wrap-distance-left:0;mso-wrap-distance-right:0" type="#_x0000_t202" filled="true" fillcolor="#c2d69a" stroked="true" strokeweight=".704952pt" strokecolor="#000000">
            <v:textbox inset="0,0,0,0">
              <w:txbxContent>
                <w:p>
                  <w:pPr>
                    <w:spacing w:before="66"/>
                    <w:ind w:left="3899" w:right="3899" w:firstLine="0"/>
                    <w:jc w:val="center"/>
                    <w:rPr>
                      <w:b/>
                      <w:i/>
                      <w:sz w:val="18"/>
                    </w:rPr>
                  </w:pPr>
                  <w:r>
                    <w:rPr>
                      <w:b/>
                      <w:i/>
                      <w:w w:val="105"/>
                      <w:sz w:val="18"/>
                    </w:rPr>
                    <w:t>Abstract</w:t>
                  </w:r>
                </w:p>
                <w:p>
                  <w:pPr>
                    <w:pStyle w:val="BodyText"/>
                    <w:spacing w:line="249" w:lineRule="auto" w:before="12"/>
                    <w:ind w:left="134" w:right="128"/>
                    <w:jc w:val="both"/>
                  </w:pPr>
                  <w:r>
                    <w:rPr>
                      <w:w w:val="105"/>
                    </w:rPr>
                    <w:t>Effective treatment of typhoid fever caused by </w:t>
                  </w:r>
                  <w:r>
                    <w:rPr>
                      <w:i/>
                      <w:w w:val="105"/>
                    </w:rPr>
                    <w:t>Salmonella enterica </w:t>
                  </w:r>
                  <w:r>
                    <w:rPr>
                      <w:w w:val="105"/>
                    </w:rPr>
                    <w:t>serovar Typhi has been hampered by the emergence of multidrug resistant and extended spectrum beta lactamase producing strains thus making the organism an important public health pathogen especially in developing countries. This study was aimed at screening </w:t>
                  </w:r>
                  <w:r>
                    <w:rPr>
                      <w:i/>
                      <w:w w:val="105"/>
                    </w:rPr>
                    <w:t>Salmonella </w:t>
                  </w:r>
                  <w:r>
                    <w:rPr>
                      <w:w w:val="105"/>
                    </w:rPr>
                    <w:t>ser. Typhi isolates from suspected enteric fever patients for the presence of plasmids as well as ESBL production. Eighty- four (84) </w:t>
                  </w:r>
                  <w:r>
                    <w:rPr>
                      <w:i/>
                      <w:w w:val="105"/>
                    </w:rPr>
                    <w:t>Salmonella </w:t>
                  </w:r>
                  <w:r>
                    <w:rPr>
                      <w:w w:val="105"/>
                    </w:rPr>
                    <w:t>ser. Typhi isolates were obtained from blood and stool culture giving a prevalence of 17.5%. Results of susceptibility screening revealed that 37.5% of the isolates demonstrated</w:t>
                  </w:r>
                  <w:r>
                    <w:rPr>
                      <w:spacing w:val="-4"/>
                      <w:w w:val="105"/>
                    </w:rPr>
                    <w:t> </w:t>
                  </w:r>
                  <w:r>
                    <w:rPr>
                      <w:w w:val="105"/>
                    </w:rPr>
                    <w:t>ability</w:t>
                  </w:r>
                  <w:r>
                    <w:rPr>
                      <w:spacing w:val="-6"/>
                      <w:w w:val="105"/>
                    </w:rPr>
                    <w:t> </w:t>
                  </w:r>
                  <w:r>
                    <w:rPr>
                      <w:w w:val="105"/>
                    </w:rPr>
                    <w:t>to</w:t>
                  </w:r>
                  <w:r>
                    <w:rPr>
                      <w:spacing w:val="-3"/>
                      <w:w w:val="105"/>
                    </w:rPr>
                    <w:t> </w:t>
                  </w:r>
                  <w:r>
                    <w:rPr>
                      <w:w w:val="105"/>
                    </w:rPr>
                    <w:t>produce</w:t>
                  </w:r>
                  <w:r>
                    <w:rPr>
                      <w:spacing w:val="-2"/>
                      <w:w w:val="105"/>
                    </w:rPr>
                    <w:t> </w:t>
                  </w:r>
                  <w:r>
                    <w:rPr>
                      <w:w w:val="105"/>
                    </w:rPr>
                    <w:t>extended</w:t>
                  </w:r>
                  <w:r>
                    <w:rPr>
                      <w:spacing w:val="-6"/>
                      <w:w w:val="105"/>
                    </w:rPr>
                    <w:t> </w:t>
                  </w:r>
                  <w:r>
                    <w:rPr>
                      <w:w w:val="105"/>
                    </w:rPr>
                    <w:t>spectrum</w:t>
                  </w:r>
                  <w:r>
                    <w:rPr>
                      <w:spacing w:val="-7"/>
                      <w:w w:val="105"/>
                    </w:rPr>
                    <w:t> </w:t>
                  </w:r>
                  <w:r>
                    <w:rPr>
                      <w:w w:val="105"/>
                    </w:rPr>
                    <w:t>beta</w:t>
                  </w:r>
                  <w:r>
                    <w:rPr>
                      <w:spacing w:val="-5"/>
                      <w:w w:val="105"/>
                    </w:rPr>
                    <w:t> </w:t>
                  </w:r>
                  <w:r>
                    <w:rPr>
                      <w:w w:val="105"/>
                    </w:rPr>
                    <w:t>lactamase</w:t>
                  </w:r>
                  <w:r>
                    <w:rPr>
                      <w:spacing w:val="-2"/>
                      <w:w w:val="105"/>
                    </w:rPr>
                    <w:t> </w:t>
                  </w:r>
                  <w:r>
                    <w:rPr>
                      <w:w w:val="105"/>
                    </w:rPr>
                    <w:t>in</w:t>
                  </w:r>
                  <w:r>
                    <w:rPr>
                      <w:spacing w:val="-4"/>
                      <w:w w:val="105"/>
                    </w:rPr>
                    <w:t> </w:t>
                  </w:r>
                  <w:r>
                    <w:rPr>
                      <w:w w:val="105"/>
                    </w:rPr>
                    <w:t>vitro</w:t>
                  </w:r>
                  <w:r>
                    <w:rPr>
                      <w:spacing w:val="-5"/>
                      <w:w w:val="105"/>
                    </w:rPr>
                    <w:t> </w:t>
                  </w:r>
                  <w:r>
                    <w:rPr>
                      <w:w w:val="105"/>
                    </w:rPr>
                    <w:t>out</w:t>
                  </w:r>
                  <w:r>
                    <w:rPr>
                      <w:spacing w:val="-5"/>
                      <w:w w:val="105"/>
                    </w:rPr>
                    <w:t> </w:t>
                  </w:r>
                  <w:r>
                    <w:rPr>
                      <w:w w:val="105"/>
                    </w:rPr>
                    <w:t>which</w:t>
                  </w:r>
                  <w:r>
                    <w:rPr>
                      <w:spacing w:val="-2"/>
                      <w:w w:val="105"/>
                    </w:rPr>
                    <w:t> </w:t>
                  </w:r>
                  <w:r>
                    <w:rPr>
                      <w:w w:val="105"/>
                    </w:rPr>
                    <w:t>37.5%</w:t>
                  </w:r>
                  <w:r>
                    <w:rPr>
                      <w:spacing w:val="-3"/>
                      <w:w w:val="105"/>
                    </w:rPr>
                    <w:t> </w:t>
                  </w:r>
                  <w:r>
                    <w:rPr>
                      <w:w w:val="105"/>
                    </w:rPr>
                    <w:t>were isolates from Yola while 40% were isolates recovered from Gombi. Furthermore, 41(48.8 %) of the isolates from this study bore plasmids out of which 25(47.1 %) were from Yola metropolis while 13 (41.9 %) were from Gombi Local Government Area. The most common antibiotic resistant marker borne on the plasmids carried by </w:t>
                  </w:r>
                  <w:r>
                    <w:rPr>
                      <w:i/>
                      <w:w w:val="105"/>
                    </w:rPr>
                    <w:t>S</w:t>
                  </w:r>
                  <w:r>
                    <w:rPr>
                      <w:w w:val="105"/>
                    </w:rPr>
                    <w:t>. ser. Typhi in the study area was resistance to AmpC Co (20) followed by resistance gene for ceftriaxone 10. Screening of the isolates for extended spectrum beta lactamase activity using the double disk synergy test revealed that 9 isolates namely; </w:t>
                  </w:r>
                  <w:r>
                    <w:rPr>
                      <w:i/>
                      <w:w w:val="105"/>
                    </w:rPr>
                    <w:t>Salmonella </w:t>
                  </w:r>
                  <w:r>
                    <w:rPr>
                      <w:w w:val="105"/>
                    </w:rPr>
                    <w:t>ser. Typhi isolates GMB1, 6, 13, 26 and </w:t>
                  </w:r>
                  <w:r>
                    <w:rPr>
                      <w:i/>
                      <w:w w:val="105"/>
                    </w:rPr>
                    <w:t>Salmonella </w:t>
                  </w:r>
                  <w:r>
                    <w:rPr>
                      <w:w w:val="105"/>
                    </w:rPr>
                    <w:t>ser. Typhi YLA 4, 11, 22, 31 and 42 showed positive ESBL activity. The PCR analysis revealed the presence of </w:t>
                  </w:r>
                  <w:r>
                    <w:rPr>
                      <w:i/>
                      <w:w w:val="105"/>
                    </w:rPr>
                    <w:t>Bla</w:t>
                  </w:r>
                  <w:r>
                    <w:rPr>
                      <w:i/>
                      <w:w w:val="105"/>
                      <w:vertAlign w:val="subscript"/>
                    </w:rPr>
                    <w:t>ctx</w:t>
                  </w:r>
                  <w:r>
                    <w:rPr>
                      <w:i/>
                      <w:w w:val="105"/>
                      <w:vertAlign w:val="baseline"/>
                    </w:rPr>
                    <w:t> </w:t>
                  </w:r>
                  <w:r>
                    <w:rPr>
                      <w:w w:val="105"/>
                      <w:vertAlign w:val="baseline"/>
                    </w:rPr>
                    <w:t>gene cluster in 4/25 (16%) of </w:t>
                  </w:r>
                  <w:r>
                    <w:rPr>
                      <w:i/>
                      <w:w w:val="105"/>
                      <w:vertAlign w:val="baseline"/>
                    </w:rPr>
                    <w:t>S</w:t>
                  </w:r>
                  <w:r>
                    <w:rPr>
                      <w:w w:val="105"/>
                      <w:vertAlign w:val="baseline"/>
                    </w:rPr>
                    <w:t>. Typhi isolates. The detection of some strains with resistance to ceftriaxone as well as ability to produce the ESBL is an early warning sign indicating the need for more controlled use of this drug in the country especially in the study</w:t>
                  </w:r>
                  <w:r>
                    <w:rPr>
                      <w:spacing w:val="-20"/>
                      <w:w w:val="105"/>
                      <w:vertAlign w:val="baseline"/>
                    </w:rPr>
                    <w:t> </w:t>
                  </w:r>
                  <w:r>
                    <w:rPr>
                      <w:w w:val="105"/>
                      <w:vertAlign w:val="baseline"/>
                    </w:rPr>
                    <w:t>area.</w:t>
                  </w:r>
                </w:p>
                <w:p>
                  <w:pPr>
                    <w:spacing w:before="15"/>
                    <w:ind w:left="134" w:right="0" w:firstLine="0"/>
                    <w:jc w:val="both"/>
                    <w:rPr>
                      <w:sz w:val="18"/>
                    </w:rPr>
                  </w:pPr>
                  <w:r>
                    <w:rPr>
                      <w:b/>
                      <w:w w:val="105"/>
                      <w:sz w:val="18"/>
                    </w:rPr>
                    <w:t>Keywords: </w:t>
                  </w:r>
                  <w:r>
                    <w:rPr>
                      <w:w w:val="105"/>
                      <w:sz w:val="18"/>
                    </w:rPr>
                    <w:t>Plasmid, Resistance, ESBL</w:t>
                  </w:r>
                </w:p>
              </w:txbxContent>
            </v:textbox>
            <v:fill type="solid"/>
            <v:stroke dashstyle="solid"/>
            <w10:wrap type="topAndBottom"/>
          </v:shape>
        </w:pict>
      </w:r>
      <w:r>
        <w:rPr>
          <w:b/>
          <w:w w:val="105"/>
          <w:sz w:val="20"/>
        </w:rPr>
        <w:t>* Corresponding Author: </w:t>
      </w:r>
      <w:hyperlink r:id="rId8">
        <w:r>
          <w:rPr>
            <w:w w:val="105"/>
            <w:sz w:val="20"/>
          </w:rPr>
          <w:t>samupuk@mautech.edu.ng</w:t>
        </w:r>
      </w:hyperlink>
    </w:p>
    <w:p>
      <w:pPr>
        <w:pStyle w:val="BodyText"/>
        <w:rPr>
          <w:sz w:val="6"/>
        </w:rPr>
      </w:pPr>
    </w:p>
    <w:p>
      <w:pPr>
        <w:spacing w:after="0"/>
        <w:rPr>
          <w:sz w:val="6"/>
        </w:rPr>
        <w:sectPr>
          <w:headerReference w:type="default" r:id="rId5"/>
          <w:type w:val="continuous"/>
          <w:pgSz w:w="12240" w:h="15840"/>
          <w:pgMar w:header="961" w:top="1160" w:bottom="280" w:left="1000" w:right="1020"/>
        </w:sectPr>
      </w:pPr>
    </w:p>
    <w:p>
      <w:pPr>
        <w:spacing w:before="74"/>
        <w:ind w:left="871" w:right="0" w:firstLine="0"/>
        <w:jc w:val="left"/>
        <w:rPr>
          <w:b/>
          <w:sz w:val="18"/>
        </w:rPr>
      </w:pPr>
      <w:r>
        <w:rPr>
          <w:b/>
          <w:color w:val="00AFF0"/>
          <w:w w:val="105"/>
          <w:sz w:val="18"/>
        </w:rPr>
        <w:t>INTRODUCTION</w:t>
      </w:r>
    </w:p>
    <w:p>
      <w:pPr>
        <w:pStyle w:val="BodyText"/>
        <w:spacing w:line="249" w:lineRule="auto" w:before="7"/>
        <w:ind w:left="871"/>
        <w:jc w:val="both"/>
      </w:pPr>
      <w:r>
        <w:rPr>
          <w:w w:val="105"/>
        </w:rPr>
        <w:t>Typhoid fever is a systemic infection caused by </w:t>
      </w:r>
      <w:r>
        <w:rPr>
          <w:i/>
          <w:w w:val="105"/>
        </w:rPr>
        <w:t>Salmonella enterica </w:t>
      </w:r>
      <w:r>
        <w:rPr>
          <w:w w:val="105"/>
        </w:rPr>
        <w:t>serovar Typhi: a gram- negative peritrichously flagellated bacterium belonging to the family </w:t>
      </w:r>
      <w:r>
        <w:rPr>
          <w:i/>
          <w:w w:val="105"/>
        </w:rPr>
        <w:t>Enterobacteriaciae</w:t>
      </w:r>
      <w:r>
        <w:rPr>
          <w:w w:val="105"/>
        </w:rPr>
        <w:t>. Annually, </w:t>
      </w:r>
      <w:r>
        <w:rPr>
          <w:i/>
          <w:w w:val="105"/>
        </w:rPr>
        <w:t>S. </w:t>
      </w:r>
      <w:r>
        <w:rPr>
          <w:w w:val="105"/>
        </w:rPr>
        <w:t>ser. Typhi disease burden is put </w:t>
      </w:r>
      <w:r>
        <w:rPr>
          <w:spacing w:val="5"/>
          <w:w w:val="105"/>
        </w:rPr>
        <w:t> </w:t>
      </w:r>
      <w:r>
        <w:rPr>
          <w:w w:val="105"/>
        </w:rPr>
        <w:t>at</w:t>
      </w:r>
    </w:p>
    <w:p>
      <w:pPr>
        <w:pStyle w:val="BodyText"/>
        <w:tabs>
          <w:tab w:pos="1368" w:val="left" w:leader="none"/>
          <w:tab w:pos="1507" w:val="left" w:leader="none"/>
          <w:tab w:pos="1805" w:val="left" w:leader="none"/>
          <w:tab w:pos="1971" w:val="left" w:leader="none"/>
          <w:tab w:pos="2115" w:val="left" w:leader="none"/>
          <w:tab w:pos="2424" w:val="left" w:leader="none"/>
          <w:tab w:pos="2808" w:val="left" w:leader="none"/>
          <w:tab w:pos="3048" w:val="left" w:leader="none"/>
          <w:tab w:pos="3312" w:val="left" w:leader="none"/>
          <w:tab w:pos="3382" w:val="left" w:leader="none"/>
          <w:tab w:pos="3538" w:val="left" w:leader="none"/>
          <w:tab w:pos="4015" w:val="left" w:leader="none"/>
          <w:tab w:pos="4625" w:val="left" w:leader="none"/>
          <w:tab w:pos="4771" w:val="left" w:leader="none"/>
        </w:tabs>
        <w:spacing w:line="249" w:lineRule="auto" w:before="6"/>
        <w:ind w:left="872"/>
      </w:pPr>
      <w:r>
        <w:rPr/>
        <w:pict>
          <v:rect style="position:absolute;margin-left:290.640015pt;margin-top:193.670563pt;width:31.680001pt;height:24.720001pt;mso-position-horizontal-relative:page;mso-position-vertical-relative:paragraph;z-index:-252949504" filled="true" fillcolor="#ffffff" stroked="false">
            <v:fill type="solid"/>
            <w10:wrap type="none"/>
          </v:rect>
        </w:pict>
      </w:r>
      <w:r>
        <w:rPr>
          <w:w w:val="105"/>
        </w:rPr>
        <w:t>21.7 million illness and 217 000 fatalities globally (Marks </w:t>
      </w:r>
      <w:r>
        <w:rPr>
          <w:i/>
          <w:w w:val="105"/>
        </w:rPr>
        <w:t>et al., </w:t>
      </w:r>
      <w:r>
        <w:rPr>
          <w:w w:val="105"/>
        </w:rPr>
        <w:t>2010). Typhoid fever prevalence rates have been reported to be 42% in Owerri (Opera </w:t>
      </w:r>
      <w:r>
        <w:rPr>
          <w:i/>
          <w:w w:val="105"/>
        </w:rPr>
        <w:t>et al., </w:t>
      </w:r>
      <w:r>
        <w:rPr>
          <w:w w:val="105"/>
        </w:rPr>
        <w:t>2011), 80.1% </w:t>
      </w:r>
      <w:r>
        <w:rPr>
          <w:spacing w:val="-3"/>
          <w:w w:val="105"/>
        </w:rPr>
        <w:t>in </w:t>
      </w:r>
      <w:r>
        <w:rPr>
          <w:w w:val="105"/>
        </w:rPr>
        <w:t>Abeokuta (Okonkwo </w:t>
      </w:r>
      <w:r>
        <w:rPr>
          <w:i/>
          <w:w w:val="105"/>
        </w:rPr>
        <w:t>et al., </w:t>
      </w:r>
      <w:r>
        <w:rPr>
          <w:w w:val="105"/>
        </w:rPr>
        <w:t>2010), 81.5% in Minna (Festus, 2014) and 18% in Adamawa Southern Senatorial District (Sale </w:t>
      </w:r>
      <w:r>
        <w:rPr>
          <w:i/>
          <w:w w:val="105"/>
        </w:rPr>
        <w:t>et al </w:t>
      </w:r>
      <w:r>
        <w:rPr>
          <w:w w:val="105"/>
        </w:rPr>
        <w:t>2017). Before the advent of chemotherapy, the case fatality rate for typhoid fever was as high as 30%</w:t>
      </w:r>
      <w:r>
        <w:rPr>
          <w:rFonts w:ascii="Times New Roman"/>
          <w:w w:val="105"/>
        </w:rPr>
        <w:tab/>
        <w:tab/>
      </w:r>
      <w:r>
        <w:rPr>
          <w:w w:val="105"/>
        </w:rPr>
        <w:t>but</w:t>
      </w:r>
      <w:r>
        <w:rPr>
          <w:rFonts w:ascii="Times New Roman"/>
          <w:w w:val="105"/>
        </w:rPr>
        <w:tab/>
        <w:tab/>
        <w:tab/>
      </w:r>
      <w:r>
        <w:rPr>
          <w:w w:val="105"/>
        </w:rPr>
        <w:t>with</w:t>
      </w:r>
      <w:r>
        <w:rPr>
          <w:rFonts w:ascii="Times New Roman"/>
          <w:w w:val="105"/>
        </w:rPr>
        <w:tab/>
      </w:r>
      <w:r>
        <w:rPr>
          <w:w w:val="105"/>
        </w:rPr>
        <w:t>the</w:t>
      </w:r>
      <w:r>
        <w:rPr>
          <w:rFonts w:ascii="Times New Roman"/>
          <w:w w:val="105"/>
        </w:rPr>
        <w:tab/>
        <w:tab/>
      </w:r>
      <w:r>
        <w:rPr>
          <w:w w:val="105"/>
        </w:rPr>
        <w:t>introduction</w:t>
      </w:r>
      <w:r>
        <w:rPr>
          <w:rFonts w:ascii="Times New Roman"/>
          <w:w w:val="105"/>
        </w:rPr>
        <w:tab/>
        <w:tab/>
      </w:r>
      <w:r>
        <w:rPr>
          <w:spacing w:val="-7"/>
          <w:w w:val="105"/>
        </w:rPr>
        <w:t>of </w:t>
      </w:r>
      <w:r>
        <w:rPr>
          <w:w w:val="105"/>
        </w:rPr>
        <w:t>chloramphenicol, ampicillin, or cotrimoxazole the mortality rate reduced to less than 1%. Sadly,</w:t>
      </w:r>
      <w:r>
        <w:rPr>
          <w:rFonts w:ascii="Times New Roman"/>
          <w:w w:val="105"/>
        </w:rPr>
        <w:tab/>
        <w:tab/>
      </w:r>
      <w:r>
        <w:rPr>
          <w:w w:val="105"/>
        </w:rPr>
        <w:t>by</w:t>
      </w:r>
      <w:r>
        <w:rPr>
          <w:rFonts w:ascii="Times New Roman"/>
          <w:w w:val="105"/>
        </w:rPr>
        <w:tab/>
        <w:tab/>
      </w:r>
      <w:r>
        <w:rPr>
          <w:w w:val="105"/>
        </w:rPr>
        <w:t>1972,</w:t>
      </w:r>
      <w:r>
        <w:rPr>
          <w:rFonts w:ascii="Times New Roman"/>
          <w:w w:val="105"/>
        </w:rPr>
        <w:tab/>
        <w:tab/>
      </w:r>
      <w:r>
        <w:rPr>
          <w:w w:val="105"/>
        </w:rPr>
        <w:t>the</w:t>
      </w:r>
      <w:r>
        <w:rPr>
          <w:rFonts w:ascii="Times New Roman"/>
          <w:w w:val="105"/>
        </w:rPr>
        <w:tab/>
      </w:r>
      <w:r>
        <w:rPr/>
        <w:t>emergence </w:t>
      </w:r>
      <w:r>
        <w:rPr>
          <w:w w:val="105"/>
        </w:rPr>
        <w:t>chloramphenicol-resistant</w:t>
      </w:r>
      <w:r>
        <w:rPr>
          <w:rFonts w:ascii="Times New Roman"/>
          <w:w w:val="105"/>
        </w:rPr>
        <w:tab/>
        <w:tab/>
      </w:r>
      <w:r>
        <w:rPr>
          <w:i/>
          <w:w w:val="105"/>
        </w:rPr>
        <w:t>Salmonella</w:t>
      </w:r>
      <w:r>
        <w:rPr>
          <w:rFonts w:ascii="Times New Roman"/>
          <w:w w:val="105"/>
        </w:rPr>
        <w:tab/>
      </w:r>
      <w:r>
        <w:rPr>
          <w:spacing w:val="-5"/>
          <w:w w:val="105"/>
        </w:rPr>
        <w:t>ser. </w:t>
      </w:r>
      <w:r>
        <w:rPr>
          <w:w w:val="105"/>
        </w:rPr>
        <w:t>Typhi were reported and by 1989, </w:t>
      </w:r>
      <w:r>
        <w:rPr>
          <w:i/>
          <w:w w:val="105"/>
        </w:rPr>
        <w:t>S</w:t>
      </w:r>
      <w:r>
        <w:rPr>
          <w:w w:val="105"/>
        </w:rPr>
        <w:t>. Typhi strains resistant to all the three first line drugs This resistance to quinolone antibiotics is</w:t>
      </w:r>
      <w:r>
        <w:rPr>
          <w:spacing w:val="-32"/>
          <w:w w:val="105"/>
        </w:rPr>
        <w:t> </w:t>
      </w:r>
      <w:r>
        <w:rPr>
          <w:w w:val="105"/>
        </w:rPr>
        <w:t>linked to</w:t>
      </w:r>
      <w:r>
        <w:rPr>
          <w:rFonts w:ascii="Times New Roman"/>
          <w:w w:val="105"/>
        </w:rPr>
        <w:tab/>
      </w:r>
      <w:r>
        <w:rPr>
          <w:w w:val="105"/>
        </w:rPr>
        <w:t>the</w:t>
      </w:r>
      <w:r>
        <w:rPr>
          <w:rFonts w:ascii="Times New Roman"/>
          <w:w w:val="105"/>
        </w:rPr>
        <w:tab/>
        <w:tab/>
      </w:r>
      <w:r>
        <w:rPr>
          <w:w w:val="105"/>
        </w:rPr>
        <w:t>presence</w:t>
      </w:r>
      <w:r>
        <w:rPr>
          <w:rFonts w:ascii="Times New Roman"/>
          <w:w w:val="105"/>
        </w:rPr>
        <w:tab/>
        <w:tab/>
      </w:r>
      <w:r>
        <w:rPr>
          <w:w w:val="105"/>
        </w:rPr>
        <w:t>of</w:t>
      </w:r>
      <w:r>
        <w:rPr>
          <w:rFonts w:ascii="Times New Roman"/>
          <w:w w:val="105"/>
        </w:rPr>
        <w:tab/>
        <w:tab/>
        <w:tab/>
      </w:r>
      <w:r>
        <w:rPr/>
        <w:t>non-transferable</w:t>
      </w:r>
    </w:p>
    <w:p>
      <w:pPr>
        <w:pStyle w:val="Heading3"/>
        <w:spacing w:line="240" w:lineRule="auto" w:before="106"/>
        <w:ind w:left="871"/>
        <w:jc w:val="both"/>
        <w:rPr>
          <w:i/>
        </w:rPr>
      </w:pPr>
      <w:bookmarkStart w:name="_TOC_250000" w:id="1"/>
      <w:bookmarkEnd w:id="1"/>
      <w:r>
        <w:rPr>
          <w:i/>
          <w:color w:val="C00000"/>
          <w:w w:val="105"/>
        </w:rPr>
        <w:t>UMYU Journal of Microbiology Research</w:t>
      </w:r>
    </w:p>
    <w:p>
      <w:pPr>
        <w:pStyle w:val="BodyText"/>
        <w:spacing w:line="249" w:lineRule="auto" w:before="74"/>
        <w:ind w:left="296" w:right="860"/>
        <w:jc w:val="both"/>
      </w:pPr>
      <w:r>
        <w:rPr/>
        <w:br w:type="column"/>
      </w:r>
      <w:r>
        <w:rPr>
          <w:w w:val="105"/>
        </w:rPr>
        <w:t>have been reported in India, Pakistan, China, etc. This sad development meant that there were increased treatment failures and a rise in mortality and prolonged morbidity. Ballesté- Delpierre </w:t>
      </w:r>
      <w:r>
        <w:rPr>
          <w:i/>
          <w:w w:val="105"/>
        </w:rPr>
        <w:t>et al. </w:t>
      </w:r>
      <w:r>
        <w:rPr>
          <w:w w:val="105"/>
        </w:rPr>
        <w:t>(2016) attributed the</w:t>
      </w:r>
      <w:r>
        <w:rPr>
          <w:spacing w:val="-25"/>
          <w:w w:val="105"/>
        </w:rPr>
        <w:t> </w:t>
      </w:r>
      <w:r>
        <w:rPr>
          <w:w w:val="105"/>
        </w:rPr>
        <w:t>resistance to be plasmid mediated thereby leading to the emergence of multidrug resistant strains. About 50-80% of </w:t>
      </w:r>
      <w:r>
        <w:rPr>
          <w:i/>
          <w:w w:val="105"/>
        </w:rPr>
        <w:t>Salmonella </w:t>
      </w:r>
      <w:r>
        <w:rPr>
          <w:w w:val="105"/>
        </w:rPr>
        <w:t>ser</w:t>
      </w:r>
      <w:r>
        <w:rPr>
          <w:i/>
          <w:w w:val="105"/>
        </w:rPr>
        <w:t>. Typhi </w:t>
      </w:r>
      <w:r>
        <w:rPr>
          <w:w w:val="105"/>
        </w:rPr>
        <w:t>isolates from China and the Indian subcontinents are now reported as multidrug resistant (MDR) and today such strains have been reported in many parts of the world including Nigeria. This development therefore poses a serious problem to chemotherapy because of narrow treatment options (Ballesté-Delpierre </w:t>
      </w:r>
      <w:r>
        <w:rPr>
          <w:i/>
          <w:w w:val="105"/>
        </w:rPr>
        <w:t>et al</w:t>
      </w:r>
      <w:r>
        <w:rPr>
          <w:b/>
          <w:w w:val="105"/>
        </w:rPr>
        <w:t>.</w:t>
      </w:r>
      <w:r>
        <w:rPr>
          <w:b/>
          <w:spacing w:val="-12"/>
          <w:w w:val="105"/>
        </w:rPr>
        <w:t> </w:t>
      </w:r>
      <w:r>
        <w:rPr>
          <w:w w:val="105"/>
        </w:rPr>
        <w:t>2016).</w:t>
      </w:r>
    </w:p>
    <w:p>
      <w:pPr>
        <w:pStyle w:val="BodyText"/>
        <w:spacing w:line="249" w:lineRule="auto" w:before="14"/>
        <w:ind w:left="296" w:right="861"/>
        <w:jc w:val="both"/>
      </w:pPr>
      <w:r>
        <w:rPr>
          <w:w w:val="105"/>
        </w:rPr>
        <w:t>Following the emergence of MDR strains, fluoroquinolones such as ciprofloxacin and ofloxacin became the mainstay of typhoid fever chemotherapy but sadly also, there have been the emergence of </w:t>
      </w:r>
      <w:r>
        <w:rPr>
          <w:i/>
          <w:w w:val="105"/>
        </w:rPr>
        <w:t>S</w:t>
      </w:r>
      <w:r>
        <w:rPr>
          <w:w w:val="105"/>
        </w:rPr>
        <w:t>. Typhi isolates that are resistant to nalidixic acid and exhibiting reduced susceptibility to fluoroquinolones. chromosomal point mutation in the quinolone resistant determining region (QRDR) of the</w:t>
      </w:r>
    </w:p>
    <w:p>
      <w:pPr>
        <w:pStyle w:val="Heading3"/>
        <w:tabs>
          <w:tab w:pos="2024" w:val="left" w:leader="none"/>
        </w:tabs>
        <w:spacing w:line="240" w:lineRule="auto" w:before="24"/>
        <w:ind w:left="39"/>
        <w:rPr>
          <w:i/>
        </w:rPr>
      </w:pPr>
      <w:r>
        <w:rPr>
          <w:rFonts w:ascii="Calibri"/>
          <w:b w:val="0"/>
          <w:i w:val="0"/>
          <w:w w:val="105"/>
          <w:position w:val="5"/>
          <w:sz w:val="20"/>
        </w:rPr>
        <w:t>47</w:t>
      </w:r>
      <w:r>
        <w:rPr>
          <w:b w:val="0"/>
          <w:i w:val="0"/>
          <w:w w:val="105"/>
          <w:position w:val="5"/>
          <w:sz w:val="20"/>
        </w:rPr>
        <w:tab/>
      </w:r>
      <w:hyperlink r:id="rId9">
        <w:r>
          <w:rPr>
            <w:i/>
            <w:color w:val="C00000"/>
            <w:w w:val="105"/>
          </w:rPr>
          <w:t>www.ujmr.umyu.edu.ng</w:t>
        </w:r>
      </w:hyperlink>
    </w:p>
    <w:p>
      <w:pPr>
        <w:spacing w:after="0" w:line="240" w:lineRule="auto"/>
        <w:sectPr>
          <w:type w:val="continuous"/>
          <w:pgSz w:w="12240" w:h="15840"/>
          <w:pgMar w:top="1160" w:bottom="280" w:left="1000" w:right="1020"/>
          <w:cols w:num="2" w:equalWidth="0">
            <w:col w:w="4947" w:space="40"/>
            <w:col w:w="5233"/>
          </w:cols>
        </w:sectPr>
      </w:pPr>
    </w:p>
    <w:p>
      <w:pPr>
        <w:pStyle w:val="BodyText"/>
        <w:spacing w:before="7"/>
        <w:rPr>
          <w:rFonts w:ascii="Times New Roman"/>
          <w:b/>
          <w:i/>
          <w:sz w:val="9"/>
        </w:rPr>
      </w:pPr>
    </w:p>
    <w:p>
      <w:pPr>
        <w:spacing w:after="0"/>
        <w:rPr>
          <w:rFonts w:ascii="Times New Roman"/>
          <w:sz w:val="9"/>
        </w:rPr>
        <w:sectPr>
          <w:headerReference w:type="default" r:id="rId10"/>
          <w:footerReference w:type="default" r:id="rId11"/>
          <w:pgSz w:w="12240" w:h="15840"/>
          <w:pgMar w:header="961" w:footer="974" w:top="1160" w:bottom="1160" w:left="1000" w:right="1020"/>
        </w:sectPr>
      </w:pPr>
    </w:p>
    <w:p>
      <w:pPr>
        <w:pStyle w:val="BodyText"/>
        <w:spacing w:line="247" w:lineRule="auto" w:before="107"/>
        <w:ind w:left="871" w:right="1"/>
        <w:jc w:val="both"/>
      </w:pPr>
      <w:r>
        <w:rPr>
          <w:w w:val="105"/>
        </w:rPr>
        <w:t>bacterium although the resistance is sometimes reported to be plasmid mediated.</w:t>
      </w:r>
    </w:p>
    <w:p>
      <w:pPr>
        <w:pStyle w:val="BodyText"/>
        <w:tabs>
          <w:tab w:pos="2851" w:val="left" w:leader="none"/>
          <w:tab w:pos="4159" w:val="left" w:leader="none"/>
        </w:tabs>
        <w:spacing w:line="249" w:lineRule="auto" w:before="4"/>
        <w:ind w:left="871" w:right="1"/>
        <w:jc w:val="both"/>
      </w:pPr>
      <w:r>
        <w:rPr>
          <w:w w:val="105"/>
        </w:rPr>
        <w:t>The emergence of Nalidixic acid resistant </w:t>
      </w:r>
      <w:r>
        <w:rPr>
          <w:i/>
          <w:w w:val="105"/>
        </w:rPr>
        <w:t>Salmonella </w:t>
      </w:r>
      <w:r>
        <w:rPr>
          <w:w w:val="105"/>
        </w:rPr>
        <w:t>ser. Typhi, (NARST) led to the use of third generation cephalosporin like ceftriaxone or cefotaxime treatment options of fluoroquinolones</w:t>
      </w:r>
      <w:r>
        <w:rPr>
          <w:rFonts w:ascii="Times New Roman"/>
          <w:w w:val="105"/>
        </w:rPr>
        <w:tab/>
      </w:r>
      <w:r>
        <w:rPr>
          <w:w w:val="105"/>
        </w:rPr>
        <w:t>resistant</w:t>
      </w:r>
      <w:r>
        <w:rPr>
          <w:rFonts w:ascii="Times New Roman"/>
          <w:w w:val="105"/>
        </w:rPr>
        <w:tab/>
      </w:r>
      <w:r>
        <w:rPr>
          <w:spacing w:val="-3"/>
          <w:w w:val="105"/>
        </w:rPr>
        <w:t>typhoidal </w:t>
      </w:r>
      <w:r>
        <w:rPr>
          <w:i/>
          <w:w w:val="105"/>
        </w:rPr>
        <w:t>Salmonella. </w:t>
      </w:r>
      <w:r>
        <w:rPr>
          <w:w w:val="105"/>
        </w:rPr>
        <w:t>Unfortunately, there have been sporadic reports of high level resistance to ceftriaxone in </w:t>
      </w:r>
      <w:r>
        <w:rPr>
          <w:i/>
          <w:w w:val="105"/>
        </w:rPr>
        <w:t>S. </w:t>
      </w:r>
      <w:r>
        <w:rPr>
          <w:w w:val="105"/>
        </w:rPr>
        <w:t>Typhi due to the production of extended spectrum beta lactamase by these isolates (Mushtaq, 2006; Yoon </w:t>
      </w:r>
      <w:r>
        <w:rPr>
          <w:i/>
          <w:w w:val="105"/>
        </w:rPr>
        <w:t>et al., </w:t>
      </w:r>
      <w:r>
        <w:rPr>
          <w:w w:val="105"/>
        </w:rPr>
        <w:t>2009). This emergence of extended-spectrum beta- lactamase (ESBL) producing </w:t>
      </w:r>
      <w:r>
        <w:rPr>
          <w:i/>
          <w:w w:val="105"/>
        </w:rPr>
        <w:t>S. </w:t>
      </w:r>
      <w:r>
        <w:rPr>
          <w:w w:val="105"/>
        </w:rPr>
        <w:t>ser. Typhi adds to the challenge of typhoid fever chemotherapy because these isolates are resistant to most of the extended-spectrum cephalosporin and ceftriaxone in particular (Malini, 2009). This ESBL producing ability is reported to be encoded on a large, 80-kb to 300-kb plasmids that can be exchanged between bacterial species although a 23kb self-transmissible plasmid has been implicated in ESBL production among </w:t>
      </w:r>
      <w:r>
        <w:rPr>
          <w:i/>
          <w:w w:val="105"/>
        </w:rPr>
        <w:t>Salmonella </w:t>
      </w:r>
      <w:r>
        <w:rPr>
          <w:w w:val="105"/>
        </w:rPr>
        <w:t>ser</w:t>
      </w:r>
      <w:r>
        <w:rPr>
          <w:i/>
          <w:w w:val="105"/>
        </w:rPr>
        <w:t>. </w:t>
      </w:r>
      <w:r>
        <w:rPr>
          <w:w w:val="105"/>
        </w:rPr>
        <w:t>Typhi isolates (Akinyemi </w:t>
      </w:r>
      <w:r>
        <w:rPr>
          <w:i/>
          <w:w w:val="105"/>
        </w:rPr>
        <w:t>et al.</w:t>
      </w:r>
      <w:r>
        <w:rPr>
          <w:w w:val="105"/>
        </w:rPr>
        <w:t>,</w:t>
      </w:r>
      <w:r>
        <w:rPr>
          <w:spacing w:val="-7"/>
          <w:w w:val="105"/>
        </w:rPr>
        <w:t> </w:t>
      </w:r>
      <w:r>
        <w:rPr>
          <w:w w:val="105"/>
        </w:rPr>
        <w:t>2015).</w:t>
      </w:r>
    </w:p>
    <w:p>
      <w:pPr>
        <w:pStyle w:val="BodyText"/>
        <w:spacing w:line="249" w:lineRule="auto" w:before="21"/>
        <w:ind w:left="871"/>
        <w:jc w:val="both"/>
      </w:pPr>
      <w:r>
        <w:rPr>
          <w:w w:val="105"/>
        </w:rPr>
        <w:t>Reviewed literature indicated that data on the plasmid carriage and ESBL production among </w:t>
      </w:r>
      <w:r>
        <w:rPr>
          <w:i/>
          <w:w w:val="105"/>
        </w:rPr>
        <w:t>Salmonella </w:t>
      </w:r>
      <w:r>
        <w:rPr>
          <w:w w:val="105"/>
        </w:rPr>
        <w:t>isolates have not been reported in the study area (Yola and Gombi local government areas of Adamawa State), thus the study was undertaken to provide a baseline information and reference for further studies. The aim of the study was to determine the plasmid carriage among </w:t>
      </w:r>
      <w:r>
        <w:rPr>
          <w:i/>
          <w:w w:val="105"/>
        </w:rPr>
        <w:t>S. </w:t>
      </w:r>
      <w:r>
        <w:rPr>
          <w:w w:val="105"/>
        </w:rPr>
        <w:t>ser. Typhi isolates as well as their extended spectrum beta lactamase producing</w:t>
      </w:r>
      <w:r>
        <w:rPr>
          <w:spacing w:val="-6"/>
          <w:w w:val="105"/>
        </w:rPr>
        <w:t> </w:t>
      </w:r>
      <w:r>
        <w:rPr>
          <w:w w:val="105"/>
        </w:rPr>
        <w:t>abilities.</w:t>
      </w:r>
    </w:p>
    <w:p>
      <w:pPr>
        <w:pStyle w:val="BodyText"/>
        <w:spacing w:before="9"/>
        <w:rPr>
          <w:sz w:val="19"/>
        </w:rPr>
      </w:pPr>
    </w:p>
    <w:p>
      <w:pPr>
        <w:spacing w:before="0"/>
        <w:ind w:left="871" w:right="0" w:firstLine="0"/>
        <w:jc w:val="both"/>
        <w:rPr>
          <w:b/>
          <w:sz w:val="18"/>
        </w:rPr>
      </w:pPr>
      <w:r>
        <w:rPr>
          <w:b/>
          <w:color w:val="00AFF0"/>
          <w:w w:val="105"/>
          <w:sz w:val="18"/>
        </w:rPr>
        <w:t>MATERIALS AND METHODS</w:t>
      </w:r>
    </w:p>
    <w:p>
      <w:pPr>
        <w:spacing w:before="7"/>
        <w:ind w:left="871" w:right="0" w:firstLine="0"/>
        <w:jc w:val="both"/>
        <w:rPr>
          <w:b/>
          <w:sz w:val="18"/>
        </w:rPr>
      </w:pPr>
      <w:r>
        <w:rPr>
          <w:b/>
          <w:w w:val="105"/>
          <w:sz w:val="18"/>
        </w:rPr>
        <w:t>Study Area</w:t>
      </w:r>
    </w:p>
    <w:p>
      <w:pPr>
        <w:pStyle w:val="BodyText"/>
        <w:spacing w:line="249" w:lineRule="auto" w:before="10"/>
        <w:ind w:left="871"/>
        <w:jc w:val="both"/>
      </w:pPr>
      <w:r>
        <w:rPr>
          <w:w w:val="105"/>
        </w:rPr>
        <w:t>The study was conducted in Yola metropolis and Gombi local government area of Adamawa State. Yola was coined from the Fulfulde word </w:t>
      </w:r>
      <w:r>
        <w:rPr>
          <w:rFonts w:ascii="Times New Roman" w:hAnsi="Times New Roman"/>
          <w:w w:val="105"/>
        </w:rPr>
        <w:t>Ƴ</w:t>
      </w:r>
      <w:r>
        <w:rPr>
          <w:w w:val="105"/>
        </w:rPr>
        <w:t>oola, meaning 'Great Plain' and is the largest city, capital city and administrative centre of Adamawa State, Nigeria. It is located on Benue River and has an estimated population of 336,648. The geographical coordinates of Yola is 9°13′48″N and 12°27′36″E. Gombi on the</w:t>
      </w:r>
      <w:r>
        <w:rPr>
          <w:spacing w:val="-35"/>
          <w:w w:val="105"/>
        </w:rPr>
        <w:t> </w:t>
      </w:r>
      <w:r>
        <w:rPr>
          <w:w w:val="105"/>
        </w:rPr>
        <w:t>other hand  lies  between  coordinates  10.16  N  </w:t>
      </w:r>
      <w:r>
        <w:rPr>
          <w:spacing w:val="5"/>
          <w:w w:val="105"/>
        </w:rPr>
        <w:t> </w:t>
      </w:r>
      <w:r>
        <w:rPr>
          <w:w w:val="105"/>
        </w:rPr>
        <w:t>and</w:t>
      </w:r>
    </w:p>
    <w:p>
      <w:pPr>
        <w:pStyle w:val="BodyText"/>
        <w:spacing w:line="249" w:lineRule="auto" w:before="10"/>
        <w:ind w:left="871" w:right="1"/>
        <w:jc w:val="both"/>
      </w:pPr>
      <w:r>
        <w:rPr>
          <w:w w:val="105"/>
        </w:rPr>
        <w:t>12.74 E with an average population of 147, 787 Gombi. The occupation of the people in the study area is mainly agriculture (NPC, 2006). Low socioeconomic status, unhygienic practices, overcrowding, lack of proper sanitation and hygiene are common in the</w:t>
      </w:r>
      <w:r>
        <w:rPr>
          <w:spacing w:val="-26"/>
          <w:w w:val="105"/>
        </w:rPr>
        <w:t> </w:t>
      </w:r>
      <w:r>
        <w:rPr>
          <w:w w:val="105"/>
        </w:rPr>
        <w:t>study</w:t>
      </w:r>
    </w:p>
    <w:p>
      <w:pPr>
        <w:pStyle w:val="BodyText"/>
        <w:spacing w:line="249" w:lineRule="auto" w:before="107"/>
        <w:ind w:left="295" w:right="861"/>
        <w:jc w:val="both"/>
      </w:pPr>
      <w:r>
        <w:rPr/>
        <w:br w:type="column"/>
      </w:r>
      <w:r>
        <w:rPr>
          <w:w w:val="105"/>
        </w:rPr>
        <w:t>area. The MICS (2011) report showed that only 27.2% of the population in the study area have access to improved drinking water sources and sanitation and 33.9% of the population has</w:t>
      </w:r>
      <w:r>
        <w:rPr>
          <w:spacing w:val="-21"/>
          <w:w w:val="105"/>
        </w:rPr>
        <w:t> </w:t>
      </w:r>
      <w:r>
        <w:rPr>
          <w:w w:val="105"/>
        </w:rPr>
        <w:t>been reported to practice open defecation, and another 25.2 % of the population reportedly use unimproved toilet</w:t>
      </w:r>
      <w:r>
        <w:rPr>
          <w:spacing w:val="-5"/>
          <w:w w:val="105"/>
        </w:rPr>
        <w:t> </w:t>
      </w:r>
      <w:r>
        <w:rPr>
          <w:w w:val="105"/>
        </w:rPr>
        <w:t>facilities.</w:t>
      </w:r>
    </w:p>
    <w:p>
      <w:pPr>
        <w:pStyle w:val="Heading2"/>
        <w:spacing w:before="5"/>
        <w:ind w:left="295"/>
      </w:pPr>
      <w:r>
        <w:rPr>
          <w:w w:val="105"/>
        </w:rPr>
        <w:t>Study Population</w:t>
      </w:r>
    </w:p>
    <w:p>
      <w:pPr>
        <w:pStyle w:val="BodyText"/>
        <w:spacing w:line="249" w:lineRule="auto" w:before="9"/>
        <w:ind w:left="295" w:right="861"/>
        <w:jc w:val="both"/>
      </w:pPr>
      <w:r>
        <w:rPr>
          <w:w w:val="105"/>
        </w:rPr>
        <w:t>The subjects enrolled in this study included those that report to health facility in the study area with complains suspected to be enteric fever. They were also required to give their informed consent before they were enrolled.</w:t>
      </w:r>
    </w:p>
    <w:p>
      <w:pPr>
        <w:pStyle w:val="Heading2"/>
        <w:spacing w:before="3"/>
        <w:ind w:left="295"/>
      </w:pPr>
      <w:r>
        <w:rPr>
          <w:w w:val="105"/>
        </w:rPr>
        <w:t>Study Sample</w:t>
      </w:r>
    </w:p>
    <w:p>
      <w:pPr>
        <w:pStyle w:val="BodyText"/>
        <w:spacing w:line="249" w:lineRule="auto" w:before="9"/>
        <w:ind w:left="295" w:right="862"/>
        <w:jc w:val="both"/>
      </w:pPr>
      <w:r>
        <w:rPr>
          <w:w w:val="105"/>
        </w:rPr>
        <w:t>The MaCorr sample size calculator was used to compute the minimum sample size for the study at P=0.05 with the 2006 census population of Yola and Gombi as basis for sample size determination. The minimum number of samples required for the study was computed as</w:t>
      </w:r>
      <w:r>
        <w:rPr>
          <w:spacing w:val="-3"/>
          <w:w w:val="105"/>
        </w:rPr>
        <w:t> </w:t>
      </w:r>
      <w:r>
        <w:rPr>
          <w:w w:val="105"/>
        </w:rPr>
        <w:t>479</w:t>
      </w:r>
    </w:p>
    <w:p>
      <w:pPr>
        <w:pStyle w:val="Heading2"/>
        <w:spacing w:before="10"/>
        <w:ind w:left="295"/>
      </w:pPr>
      <w:r>
        <w:rPr>
          <w:w w:val="105"/>
        </w:rPr>
        <w:t>Sample Collection</w:t>
      </w:r>
    </w:p>
    <w:p>
      <w:pPr>
        <w:pStyle w:val="BodyText"/>
        <w:spacing w:line="249" w:lineRule="auto" w:before="7"/>
        <w:ind w:left="295" w:right="861"/>
        <w:jc w:val="both"/>
        <w:rPr>
          <w:i/>
        </w:rPr>
      </w:pPr>
      <w:r>
        <w:rPr>
          <w:w w:val="105"/>
        </w:rPr>
        <w:t>Blood (148 from Yola and 143 from Gombi) and stool (108 from Yola and 80 from Gombi) samples were collected from suspected enteric fever patients attending public and private hospitals and laboratories in Yola metropolis and Gombi and environ following standard laboratory procedure reported previously by Sale </w:t>
      </w:r>
      <w:r>
        <w:rPr>
          <w:i/>
          <w:w w:val="105"/>
        </w:rPr>
        <w:t>et al. </w:t>
      </w:r>
      <w:r>
        <w:rPr>
          <w:w w:val="105"/>
        </w:rPr>
        <w:t>(2017)</w:t>
      </w:r>
      <w:r>
        <w:rPr>
          <w:i/>
          <w:w w:val="105"/>
        </w:rPr>
        <w:t>.</w:t>
      </w:r>
    </w:p>
    <w:p>
      <w:pPr>
        <w:pStyle w:val="Heading2"/>
        <w:spacing w:before="6"/>
        <w:ind w:left="295"/>
      </w:pPr>
      <w:r>
        <w:rPr>
          <w:w w:val="105"/>
        </w:rPr>
        <w:t>Isolation and Identification of Isolates</w:t>
      </w:r>
    </w:p>
    <w:p>
      <w:pPr>
        <w:pStyle w:val="BodyText"/>
        <w:spacing w:line="249" w:lineRule="auto" w:before="12"/>
        <w:ind w:left="295" w:right="861"/>
        <w:jc w:val="both"/>
      </w:pPr>
      <w:r>
        <w:rPr>
          <w:w w:val="105"/>
        </w:rPr>
        <w:t>Blood and stool samples were first enriched in selenite F broth for 24 hours at 37</w:t>
      </w:r>
      <w:r>
        <w:rPr>
          <w:w w:val="105"/>
          <w:vertAlign w:val="superscript"/>
        </w:rPr>
        <w:t>0</w:t>
      </w:r>
      <w:r>
        <w:rPr>
          <w:w w:val="105"/>
          <w:vertAlign w:val="baseline"/>
        </w:rPr>
        <w:t>C after which a loopful was inoculated on bismuth sulphite agar and incubated at 37</w:t>
      </w:r>
      <w:r>
        <w:rPr>
          <w:w w:val="105"/>
          <w:vertAlign w:val="superscript"/>
        </w:rPr>
        <w:t>0</w:t>
      </w:r>
      <w:r>
        <w:rPr>
          <w:w w:val="105"/>
          <w:vertAlign w:val="baseline"/>
        </w:rPr>
        <w:t>C for 24 hours. Colonies suspected to be </w:t>
      </w:r>
      <w:r>
        <w:rPr>
          <w:i/>
          <w:w w:val="105"/>
          <w:vertAlign w:val="baseline"/>
        </w:rPr>
        <w:t>Salmonella enterica </w:t>
      </w:r>
      <w:r>
        <w:rPr>
          <w:w w:val="105"/>
          <w:vertAlign w:val="baseline"/>
        </w:rPr>
        <w:t>serovar Typhi were subjected to the following biochemical tests; growth characteristics on kligler iron Agar, citrate utilization test, motility, indole, methyl red, voges Proskauer, citrate test using standard procedure describe by Chessbrough, (2006) and WHO (2003). Presumptive </w:t>
      </w:r>
      <w:r>
        <w:rPr>
          <w:i/>
          <w:w w:val="105"/>
          <w:vertAlign w:val="baseline"/>
        </w:rPr>
        <w:t>S</w:t>
      </w:r>
      <w:r>
        <w:rPr>
          <w:w w:val="105"/>
          <w:vertAlign w:val="baseline"/>
        </w:rPr>
        <w:t>. ser. Typhi isolates were confirmed by typing using standard antisera for </w:t>
      </w:r>
      <w:r>
        <w:rPr>
          <w:i/>
          <w:w w:val="105"/>
          <w:vertAlign w:val="baseline"/>
        </w:rPr>
        <w:t>S. </w:t>
      </w:r>
      <w:r>
        <w:rPr>
          <w:w w:val="105"/>
          <w:vertAlign w:val="baseline"/>
        </w:rPr>
        <w:t>ser.</w:t>
      </w:r>
      <w:r>
        <w:rPr>
          <w:spacing w:val="-12"/>
          <w:w w:val="105"/>
          <w:vertAlign w:val="baseline"/>
        </w:rPr>
        <w:t> </w:t>
      </w:r>
      <w:r>
        <w:rPr>
          <w:w w:val="105"/>
          <w:vertAlign w:val="baseline"/>
        </w:rPr>
        <w:t>Typhi.</w:t>
      </w:r>
    </w:p>
    <w:p>
      <w:pPr>
        <w:pStyle w:val="Heading2"/>
        <w:spacing w:before="12"/>
        <w:ind w:left="295"/>
      </w:pPr>
      <w:r>
        <w:rPr>
          <w:w w:val="105"/>
        </w:rPr>
        <w:t>Antibiotic Susceptibility Testing</w:t>
      </w:r>
    </w:p>
    <w:p>
      <w:pPr>
        <w:pStyle w:val="BodyText"/>
        <w:spacing w:line="249" w:lineRule="auto" w:before="9"/>
        <w:ind w:left="295" w:right="861"/>
        <w:jc w:val="both"/>
      </w:pPr>
      <w:r>
        <w:rPr>
          <w:w w:val="105"/>
        </w:rPr>
        <w:t>The confirmed </w:t>
      </w:r>
      <w:r>
        <w:rPr>
          <w:i/>
          <w:w w:val="105"/>
        </w:rPr>
        <w:t>Salmonella </w:t>
      </w:r>
      <w:r>
        <w:rPr>
          <w:w w:val="105"/>
        </w:rPr>
        <w:t>ser</w:t>
      </w:r>
      <w:r>
        <w:rPr>
          <w:i/>
          <w:w w:val="105"/>
        </w:rPr>
        <w:t>. Typhi </w:t>
      </w:r>
      <w:r>
        <w:rPr>
          <w:w w:val="105"/>
        </w:rPr>
        <w:t>isolates were subjected to antimicrobial susceptibility testing using the disk diffusion method described by CLSI (2012). The antibiotic disk used for the test contained the following antibiotics chloramphenicol 30 µg, ampicillin, 10µg, amoxicillin 10µg, tetracycline 30µg, cotrimoxazole, 25 µg, nalidixic acid, 30µg, ofloxacin 5µg and ciprofloxacin 5µg.</w:t>
      </w:r>
    </w:p>
    <w:p>
      <w:pPr>
        <w:spacing w:after="0" w:line="249" w:lineRule="auto"/>
        <w:jc w:val="both"/>
        <w:sectPr>
          <w:type w:val="continuous"/>
          <w:pgSz w:w="12240" w:h="15840"/>
          <w:pgMar w:top="1160" w:bottom="280" w:left="1000" w:right="1020"/>
          <w:cols w:num="2" w:equalWidth="0">
            <w:col w:w="4948" w:space="40"/>
            <w:col w:w="5232"/>
          </w:cols>
        </w:sectPr>
      </w:pPr>
    </w:p>
    <w:p>
      <w:pPr>
        <w:pStyle w:val="BodyText"/>
        <w:rPr>
          <w:sz w:val="20"/>
        </w:rPr>
      </w:pPr>
    </w:p>
    <w:p>
      <w:pPr>
        <w:pStyle w:val="BodyText"/>
        <w:rPr>
          <w:sz w:val="20"/>
        </w:rPr>
      </w:pPr>
    </w:p>
    <w:p>
      <w:pPr>
        <w:pStyle w:val="BodyText"/>
        <w:rPr>
          <w:sz w:val="20"/>
        </w:rPr>
      </w:pPr>
    </w:p>
    <w:p>
      <w:pPr>
        <w:pStyle w:val="BodyText"/>
        <w:spacing w:before="4"/>
        <w:rPr>
          <w:sz w:val="16"/>
        </w:rPr>
      </w:pPr>
    </w:p>
    <w:p>
      <w:pPr>
        <w:pStyle w:val="Heading1"/>
        <w:spacing w:before="66"/>
        <w:ind w:left="975" w:right="1184"/>
        <w:jc w:val="center"/>
        <w:rPr>
          <w:rFonts w:ascii="Calibri"/>
        </w:rPr>
      </w:pPr>
      <w:r>
        <w:rPr>
          <w:rFonts w:ascii="Calibri"/>
          <w:w w:val="105"/>
        </w:rPr>
        <w:t>48</w:t>
      </w:r>
    </w:p>
    <w:p>
      <w:pPr>
        <w:spacing w:after="0"/>
        <w:jc w:val="center"/>
        <w:rPr>
          <w:rFonts w:ascii="Calibri"/>
        </w:rPr>
        <w:sectPr>
          <w:type w:val="continuous"/>
          <w:pgSz w:w="12240" w:h="15840"/>
          <w:pgMar w:top="1160" w:bottom="280" w:left="1000" w:right="1020"/>
        </w:sectPr>
      </w:pPr>
    </w:p>
    <w:p>
      <w:pPr>
        <w:pStyle w:val="BodyText"/>
        <w:spacing w:before="4"/>
        <w:rPr>
          <w:rFonts w:ascii="Calibri"/>
          <w:sz w:val="14"/>
        </w:rPr>
      </w:pPr>
    </w:p>
    <w:p>
      <w:pPr>
        <w:spacing w:after="0"/>
        <w:rPr>
          <w:rFonts w:ascii="Calibri"/>
          <w:sz w:val="14"/>
        </w:rPr>
        <w:sectPr>
          <w:headerReference w:type="default" r:id="rId12"/>
          <w:footerReference w:type="default" r:id="rId13"/>
          <w:pgSz w:w="12240" w:h="15840"/>
          <w:pgMar w:header="961" w:footer="1163" w:top="1160" w:bottom="1360" w:left="1000" w:right="1020"/>
        </w:sectPr>
      </w:pPr>
    </w:p>
    <w:p>
      <w:pPr>
        <w:pStyle w:val="Heading2"/>
        <w:spacing w:before="107"/>
      </w:pPr>
      <w:r>
        <w:rPr>
          <w:w w:val="105"/>
        </w:rPr>
        <w:t>Plasmid Curing</w:t>
      </w:r>
    </w:p>
    <w:p>
      <w:pPr>
        <w:pStyle w:val="BodyText"/>
        <w:spacing w:line="249" w:lineRule="auto" w:before="7"/>
        <w:ind w:left="871"/>
        <w:jc w:val="both"/>
      </w:pPr>
      <w:r>
        <w:rPr>
          <w:w w:val="105"/>
        </w:rPr>
        <w:t>Isolates showing resistance to some antibiotics in the antibiotic susceptibility test were screened for possible plasmid carriage using</w:t>
      </w:r>
      <w:r>
        <w:rPr>
          <w:spacing w:val="-25"/>
          <w:w w:val="105"/>
        </w:rPr>
        <w:t> </w:t>
      </w:r>
      <w:r>
        <w:rPr>
          <w:w w:val="105"/>
        </w:rPr>
        <w:t>the plasmid curing protocol described by Mirmomeni </w:t>
      </w:r>
      <w:r>
        <w:rPr>
          <w:i/>
          <w:w w:val="105"/>
        </w:rPr>
        <w:t>et al. </w:t>
      </w:r>
      <w:r>
        <w:rPr>
          <w:w w:val="105"/>
        </w:rPr>
        <w:t>(2007). Briefly, 0.2 ml of overnight culture of S. ser. Typhi was inoculated into 5 ml nutrient broth containing 10% Sodium dodecyl sulphate (SDS), and incubated at 37</w:t>
      </w:r>
      <w:r>
        <w:rPr>
          <w:w w:val="105"/>
          <w:vertAlign w:val="superscript"/>
        </w:rPr>
        <w:t>o</w:t>
      </w:r>
      <w:r>
        <w:rPr>
          <w:w w:val="105"/>
          <w:vertAlign w:val="baseline"/>
        </w:rPr>
        <w:t>C for 24 hrs. After the incubation period, the broth culture was agitated to homogenize and then sub cultured onto Mueller Hinton agar plates. The resultant growth was screened for antibiotic resistance by the disk diffusion method as described earlier. Cured markers were determined by comparison between the pre and post curing antibiogram of</w:t>
      </w:r>
      <w:r>
        <w:rPr>
          <w:spacing w:val="2"/>
          <w:w w:val="105"/>
          <w:vertAlign w:val="baseline"/>
        </w:rPr>
        <w:t> </w:t>
      </w:r>
      <w:r>
        <w:rPr>
          <w:w w:val="105"/>
          <w:vertAlign w:val="baseline"/>
        </w:rPr>
        <w:t>isolates.</w:t>
      </w:r>
    </w:p>
    <w:p>
      <w:pPr>
        <w:pStyle w:val="Heading2"/>
        <w:spacing w:line="249" w:lineRule="auto" w:before="16"/>
      </w:pPr>
      <w:r>
        <w:rPr>
          <w:w w:val="105"/>
        </w:rPr>
        <w:t>Phenotypic Confirmatory Test for Esbl Producers</w:t>
      </w:r>
    </w:p>
    <w:p>
      <w:pPr>
        <w:pStyle w:val="BodyText"/>
        <w:spacing w:line="249" w:lineRule="auto" w:before="4"/>
        <w:ind w:left="871"/>
        <w:jc w:val="both"/>
      </w:pPr>
      <w:r>
        <w:rPr>
          <w:i/>
          <w:w w:val="105"/>
        </w:rPr>
        <w:t>Salmonella enterica </w:t>
      </w:r>
      <w:r>
        <w:rPr>
          <w:w w:val="105"/>
        </w:rPr>
        <w:t>Typhi isolates showing resistance to third generation cephalosporin were further screened for extended spectrum beta lactamase production following the protocol reported by Babu </w:t>
      </w:r>
      <w:r>
        <w:rPr>
          <w:i/>
          <w:w w:val="105"/>
        </w:rPr>
        <w:t>et al. </w:t>
      </w:r>
      <w:r>
        <w:rPr>
          <w:w w:val="105"/>
        </w:rPr>
        <w:t>(2010). Briefly, </w:t>
      </w:r>
      <w:r>
        <w:rPr>
          <w:i/>
          <w:w w:val="105"/>
        </w:rPr>
        <w:t>Salmonella enteric </w:t>
      </w:r>
      <w:r>
        <w:rPr>
          <w:w w:val="105"/>
        </w:rPr>
        <w:t>serovar Typhi suspension in 0.85 % sodium chloride adjusted to 0.5 McFarland was inoculated onto Muller Hinton agar using a sterile Pasteur pipette. An antibiotic disc each of cefpodoxime (10 µg) and amoxicillin plus clavulanic acid (Augmentin,</w:t>
      </w:r>
      <w:r>
        <w:rPr>
          <w:spacing w:val="6"/>
          <w:w w:val="105"/>
        </w:rPr>
        <w:t> </w:t>
      </w:r>
      <w:r>
        <w:rPr>
          <w:w w:val="105"/>
        </w:rPr>
        <w:t>30</w:t>
      </w:r>
    </w:p>
    <w:p>
      <w:pPr>
        <w:pStyle w:val="BodyText"/>
        <w:spacing w:line="249" w:lineRule="auto" w:before="9"/>
        <w:ind w:left="872"/>
        <w:rPr>
          <w:b/>
        </w:rPr>
      </w:pPr>
      <w:r>
        <w:rPr>
          <w:w w:val="105"/>
        </w:rPr>
        <w:t>µg) were placed on the surface of the inoculated medium with sterile forceps. The antibiotics were placed 20 mm apart from each other. The plate was then incubated at 37 </w:t>
      </w:r>
      <w:r>
        <w:rPr>
          <w:w w:val="105"/>
          <w:vertAlign w:val="superscript"/>
        </w:rPr>
        <w:t>o</w:t>
      </w:r>
      <w:r>
        <w:rPr>
          <w:w w:val="105"/>
          <w:vertAlign w:val="baseline"/>
        </w:rPr>
        <w:t>C for 24 hrs. An enhanced zone of inhibition of the cefpodoxime disc towards the Augmentin (30 µg) disc was considered as positive and noted as confirmed ESBL-producing organisms. </w:t>
      </w:r>
      <w:r>
        <w:rPr>
          <w:b/>
          <w:w w:val="105"/>
          <w:vertAlign w:val="baseline"/>
        </w:rPr>
        <w:t>DNA</w:t>
      </w:r>
      <w:r>
        <w:rPr>
          <w:b/>
          <w:spacing w:val="-2"/>
          <w:w w:val="105"/>
          <w:vertAlign w:val="baseline"/>
        </w:rPr>
        <w:t> </w:t>
      </w:r>
      <w:r>
        <w:rPr>
          <w:b/>
          <w:w w:val="105"/>
          <w:vertAlign w:val="baseline"/>
        </w:rPr>
        <w:t>Extraction</w:t>
      </w:r>
    </w:p>
    <w:p>
      <w:pPr>
        <w:pStyle w:val="BodyText"/>
        <w:spacing w:line="249" w:lineRule="auto" w:before="9"/>
        <w:ind w:left="872"/>
        <w:jc w:val="both"/>
      </w:pPr>
      <w:r>
        <w:rPr>
          <w:w w:val="105"/>
        </w:rPr>
        <w:t>Genomic DNA was extracted following the Qiagen DNA extraction protocol (Qiagen DNeasy, 2006). The spectrophotometer lens (nanodrop ND1000) was used to measure the amount and purity level of the DNA. A DNA sample with an optical density (OD) of 1 at 260nm corresponded to a DNA concentration of 50µg/ml of double-stranded DNA. The purified chromosomal DNA pellets were then</w:t>
      </w:r>
      <w:r>
        <w:rPr>
          <w:spacing w:val="-28"/>
          <w:w w:val="105"/>
        </w:rPr>
        <w:t> </w:t>
      </w:r>
      <w:r>
        <w:rPr>
          <w:w w:val="105"/>
        </w:rPr>
        <w:t>transferred into a new tube and stored on ice. Purity levels were between 1.5-1.8 of 2</w:t>
      </w:r>
      <w:r>
        <w:rPr>
          <w:spacing w:val="-12"/>
          <w:w w:val="105"/>
        </w:rPr>
        <w:t> </w:t>
      </w:r>
      <w:r>
        <w:rPr>
          <w:w w:val="105"/>
        </w:rPr>
        <w:t>µl.</w:t>
      </w:r>
    </w:p>
    <w:p>
      <w:pPr>
        <w:pStyle w:val="Heading2"/>
        <w:spacing w:line="249" w:lineRule="auto" w:before="9"/>
        <w:ind w:left="872" w:right="457"/>
        <w:rPr>
          <w:b w:val="0"/>
        </w:rPr>
      </w:pPr>
      <w:r>
        <w:rPr>
          <w:w w:val="105"/>
        </w:rPr>
        <w:t>PCR Analyses of Extended Spectrum</w:t>
      </w:r>
      <w:r>
        <w:rPr>
          <w:spacing w:val="-35"/>
          <w:w w:val="105"/>
        </w:rPr>
        <w:t> </w:t>
      </w:r>
      <w:r>
        <w:rPr>
          <w:w w:val="105"/>
        </w:rPr>
        <w:t>Beta Lactamase Gene</w:t>
      </w:r>
      <w:r>
        <w:rPr>
          <w:spacing w:val="-5"/>
          <w:w w:val="105"/>
        </w:rPr>
        <w:t> </w:t>
      </w:r>
      <w:r>
        <w:rPr>
          <w:b w:val="0"/>
          <w:i/>
          <w:w w:val="105"/>
        </w:rPr>
        <w:t>Bla</w:t>
      </w:r>
      <w:r>
        <w:rPr>
          <w:b w:val="0"/>
          <w:w w:val="105"/>
        </w:rPr>
        <w:t>-ctx</w:t>
      </w:r>
    </w:p>
    <w:p>
      <w:pPr>
        <w:pStyle w:val="BodyText"/>
        <w:spacing w:line="249" w:lineRule="auto" w:before="2"/>
        <w:ind w:left="871"/>
        <w:jc w:val="both"/>
      </w:pPr>
      <w:r>
        <w:rPr>
          <w:w w:val="105"/>
        </w:rPr>
        <w:t>PCR Amplification of </w:t>
      </w:r>
      <w:r>
        <w:rPr>
          <w:i/>
          <w:w w:val="105"/>
        </w:rPr>
        <w:t>Blactx </w:t>
      </w:r>
      <w:r>
        <w:rPr>
          <w:w w:val="105"/>
        </w:rPr>
        <w:t>gene was performed using forward primer 5′-AAA AAT CAC TGC GCC AGT TC-3′ and reverse 5′-AGC</w:t>
      </w:r>
      <w:r>
        <w:rPr>
          <w:spacing w:val="-24"/>
          <w:w w:val="105"/>
        </w:rPr>
        <w:t> </w:t>
      </w:r>
      <w:r>
        <w:rPr>
          <w:w w:val="105"/>
        </w:rPr>
        <w:t>TTA TTC ATC GCC ACG TT-3 earlier reported by Smith </w:t>
      </w:r>
      <w:r>
        <w:rPr>
          <w:i/>
          <w:w w:val="105"/>
        </w:rPr>
        <w:t>et al. </w:t>
      </w:r>
      <w:r>
        <w:rPr>
          <w:w w:val="105"/>
        </w:rPr>
        <w:t>(2002) in a final volume of 25µl. The reaction mixture contained 5.5</w:t>
      </w:r>
      <w:r>
        <w:rPr>
          <w:spacing w:val="35"/>
          <w:w w:val="105"/>
        </w:rPr>
        <w:t> </w:t>
      </w:r>
      <w:r>
        <w:rPr>
          <w:w w:val="105"/>
        </w:rPr>
        <w:t>µl</w:t>
      </w:r>
    </w:p>
    <w:p>
      <w:pPr>
        <w:pStyle w:val="BodyText"/>
        <w:spacing w:line="249" w:lineRule="auto" w:before="107"/>
        <w:ind w:left="296" w:right="861"/>
        <w:jc w:val="both"/>
      </w:pPr>
      <w:r>
        <w:rPr/>
        <w:br w:type="column"/>
      </w:r>
      <w:r>
        <w:rPr>
          <w:w w:val="105"/>
        </w:rPr>
        <w:t>molecular grade water, 12.5 µl PCRmaster mix 2X (0.05 u/µl </w:t>
      </w:r>
      <w:r>
        <w:rPr>
          <w:i/>
          <w:w w:val="105"/>
        </w:rPr>
        <w:t>Taq </w:t>
      </w:r>
      <w:r>
        <w:rPr>
          <w:w w:val="105"/>
        </w:rPr>
        <w:t>DNA polymerase, reaction buffer, 4 mM MgCl</w:t>
      </w:r>
      <w:r>
        <w:rPr>
          <w:w w:val="105"/>
          <w:vertAlign w:val="subscript"/>
        </w:rPr>
        <w:t>2</w:t>
      </w:r>
      <w:r>
        <w:rPr>
          <w:w w:val="105"/>
          <w:vertAlign w:val="baseline"/>
        </w:rPr>
        <w:t>, 0.4 mM of each dNTP), 2.5µl of each primer and 2 µl of template bacterial DNA. Amplification reaction was carried on a GeneAmp System 2700 PCR thermocycler (Applied Biosystems, Foster City, CA, USA) with an initial denaturation at 94</w:t>
      </w:r>
      <w:r>
        <w:rPr>
          <w:w w:val="105"/>
          <w:vertAlign w:val="superscript"/>
        </w:rPr>
        <w:t>˚</w:t>
      </w:r>
      <w:r>
        <w:rPr>
          <w:w w:val="105"/>
          <w:vertAlign w:val="baseline"/>
        </w:rPr>
        <w:t>C for 5 minutes, followed by 35 cycles of denaturation (94</w:t>
      </w:r>
      <w:r>
        <w:rPr>
          <w:w w:val="105"/>
          <w:vertAlign w:val="superscript"/>
        </w:rPr>
        <w:t>˚</w:t>
      </w:r>
      <w:r>
        <w:rPr>
          <w:w w:val="105"/>
          <w:vertAlign w:val="baseline"/>
        </w:rPr>
        <w:t>C, 30 seconds), annealing (55</w:t>
      </w:r>
      <w:r>
        <w:rPr>
          <w:w w:val="105"/>
          <w:vertAlign w:val="superscript"/>
        </w:rPr>
        <w:t>˚</w:t>
      </w:r>
      <w:r>
        <w:rPr>
          <w:w w:val="105"/>
          <w:vertAlign w:val="baseline"/>
        </w:rPr>
        <w:t>C,</w:t>
      </w:r>
      <w:r>
        <w:rPr>
          <w:spacing w:val="24"/>
          <w:w w:val="105"/>
          <w:vertAlign w:val="baseline"/>
        </w:rPr>
        <w:t> </w:t>
      </w:r>
      <w:r>
        <w:rPr>
          <w:w w:val="105"/>
          <w:vertAlign w:val="baseline"/>
        </w:rPr>
        <w:t>30</w:t>
      </w:r>
      <w:r>
        <w:rPr>
          <w:spacing w:val="23"/>
          <w:w w:val="105"/>
          <w:vertAlign w:val="baseline"/>
        </w:rPr>
        <w:t> </w:t>
      </w:r>
      <w:r>
        <w:rPr>
          <w:w w:val="105"/>
          <w:vertAlign w:val="baseline"/>
        </w:rPr>
        <w:t>seconds)</w:t>
      </w:r>
      <w:r>
        <w:rPr>
          <w:spacing w:val="24"/>
          <w:w w:val="105"/>
          <w:vertAlign w:val="baseline"/>
        </w:rPr>
        <w:t> </w:t>
      </w:r>
      <w:r>
        <w:rPr>
          <w:w w:val="105"/>
          <w:vertAlign w:val="baseline"/>
        </w:rPr>
        <w:t>and</w:t>
      </w:r>
      <w:r>
        <w:rPr>
          <w:spacing w:val="22"/>
          <w:w w:val="105"/>
          <w:vertAlign w:val="baseline"/>
        </w:rPr>
        <w:t> </w:t>
      </w:r>
      <w:r>
        <w:rPr>
          <w:w w:val="105"/>
          <w:vertAlign w:val="baseline"/>
        </w:rPr>
        <w:t>extension</w:t>
      </w:r>
      <w:r>
        <w:rPr>
          <w:spacing w:val="22"/>
          <w:w w:val="105"/>
          <w:vertAlign w:val="baseline"/>
        </w:rPr>
        <w:t> </w:t>
      </w:r>
      <w:r>
        <w:rPr>
          <w:w w:val="105"/>
          <w:vertAlign w:val="baseline"/>
        </w:rPr>
        <w:t>(72</w:t>
      </w:r>
      <w:r>
        <w:rPr>
          <w:w w:val="105"/>
          <w:vertAlign w:val="superscript"/>
        </w:rPr>
        <w:t>˚</w:t>
      </w:r>
      <w:r>
        <w:rPr>
          <w:w w:val="105"/>
          <w:vertAlign w:val="baseline"/>
        </w:rPr>
        <w:t>C,</w:t>
      </w:r>
      <w:r>
        <w:rPr>
          <w:spacing w:val="22"/>
          <w:w w:val="105"/>
          <w:vertAlign w:val="baseline"/>
        </w:rPr>
        <w:t> </w:t>
      </w:r>
      <w:r>
        <w:rPr>
          <w:w w:val="105"/>
          <w:vertAlign w:val="baseline"/>
        </w:rPr>
        <w:t>2</w:t>
      </w:r>
      <w:r>
        <w:rPr>
          <w:spacing w:val="23"/>
          <w:w w:val="105"/>
          <w:vertAlign w:val="baseline"/>
        </w:rPr>
        <w:t> </w:t>
      </w:r>
      <w:r>
        <w:rPr>
          <w:w w:val="105"/>
          <w:vertAlign w:val="baseline"/>
        </w:rPr>
        <w:t>min</w:t>
      </w:r>
    </w:p>
    <w:p>
      <w:pPr>
        <w:pStyle w:val="BodyText"/>
        <w:spacing w:line="249" w:lineRule="auto" w:before="9"/>
        <w:ind w:left="296" w:right="859"/>
        <w:jc w:val="both"/>
      </w:pPr>
      <w:r>
        <w:rPr>
          <w:w w:val="105"/>
        </w:rPr>
        <w:t>30 seconds) and a final extension for 10 minutes at 72</w:t>
      </w:r>
      <w:r>
        <w:rPr>
          <w:w w:val="105"/>
          <w:vertAlign w:val="superscript"/>
        </w:rPr>
        <w:t>˚</w:t>
      </w:r>
      <w:r>
        <w:rPr>
          <w:w w:val="105"/>
          <w:vertAlign w:val="baseline"/>
        </w:rPr>
        <w:t>C. The amplified products were separated by gel electrophoresis on 1.5% agarose at 100 volts and stained with ethidium bromide and visualised using Enduro gel documentation system. Molecular weight markers (50 base pairs) were used to determine the sizes of</w:t>
      </w:r>
      <w:r>
        <w:rPr>
          <w:spacing w:val="-2"/>
          <w:w w:val="105"/>
          <w:vertAlign w:val="baseline"/>
        </w:rPr>
        <w:t> </w:t>
      </w:r>
      <w:r>
        <w:rPr>
          <w:w w:val="105"/>
          <w:vertAlign w:val="baseline"/>
        </w:rPr>
        <w:t>amplicons.</w:t>
      </w:r>
    </w:p>
    <w:p>
      <w:pPr>
        <w:pStyle w:val="BodyText"/>
        <w:spacing w:before="6"/>
        <w:rPr>
          <w:sz w:val="19"/>
        </w:rPr>
      </w:pPr>
    </w:p>
    <w:p>
      <w:pPr>
        <w:spacing w:before="0"/>
        <w:ind w:left="296" w:right="0" w:firstLine="0"/>
        <w:jc w:val="left"/>
        <w:rPr>
          <w:b/>
          <w:sz w:val="18"/>
        </w:rPr>
      </w:pPr>
      <w:r>
        <w:rPr>
          <w:b/>
          <w:color w:val="00AFF0"/>
          <w:w w:val="105"/>
          <w:sz w:val="18"/>
        </w:rPr>
        <w:t>RESULTS</w:t>
      </w:r>
    </w:p>
    <w:p>
      <w:pPr>
        <w:pStyle w:val="BodyText"/>
        <w:spacing w:line="249" w:lineRule="auto" w:before="10"/>
        <w:ind w:left="296" w:right="861"/>
        <w:jc w:val="both"/>
      </w:pPr>
      <w:r>
        <w:rPr>
          <w:w w:val="105"/>
        </w:rPr>
        <w:t>Table 1 showed the distribution of </w:t>
      </w:r>
      <w:r>
        <w:rPr>
          <w:i/>
          <w:w w:val="105"/>
        </w:rPr>
        <w:t>S</w:t>
      </w:r>
      <w:r>
        <w:rPr>
          <w:w w:val="105"/>
        </w:rPr>
        <w:t>. serovar Typhi isolates from the study area by sample, age and gender. The culture results of the 479 stool and blood samples revealed that the overall occurrence of </w:t>
      </w:r>
      <w:r>
        <w:rPr>
          <w:i/>
          <w:w w:val="105"/>
        </w:rPr>
        <w:t>Salmonella </w:t>
      </w:r>
      <w:r>
        <w:rPr>
          <w:w w:val="105"/>
        </w:rPr>
        <w:t>ser</w:t>
      </w:r>
      <w:r>
        <w:rPr>
          <w:i/>
          <w:w w:val="105"/>
        </w:rPr>
        <w:t>. Typhi </w:t>
      </w:r>
      <w:r>
        <w:rPr>
          <w:w w:val="105"/>
        </w:rPr>
        <w:t>from the study area was 17.5% (Table 1). The results revealed that 20.7% of the samples from Yola and 13.9% of the samples from Gombi yielded growth of </w:t>
      </w:r>
      <w:r>
        <w:rPr>
          <w:i/>
          <w:w w:val="105"/>
        </w:rPr>
        <w:t>Salmonella </w:t>
      </w:r>
      <w:r>
        <w:rPr>
          <w:w w:val="105"/>
        </w:rPr>
        <w:t>serovar Typhi (Table 1). Furthermore, the finding showed that 40.1% of the </w:t>
      </w:r>
      <w:r>
        <w:rPr>
          <w:i/>
          <w:w w:val="105"/>
        </w:rPr>
        <w:t>Salmonella </w:t>
      </w:r>
      <w:r>
        <w:rPr>
          <w:w w:val="105"/>
        </w:rPr>
        <w:t>ser</w:t>
      </w:r>
      <w:r>
        <w:rPr>
          <w:i/>
          <w:w w:val="105"/>
        </w:rPr>
        <w:t>. </w:t>
      </w:r>
      <w:r>
        <w:rPr>
          <w:w w:val="105"/>
        </w:rPr>
        <w:t>Typhi</w:t>
      </w:r>
      <w:r>
        <w:rPr>
          <w:spacing w:val="-19"/>
          <w:w w:val="105"/>
        </w:rPr>
        <w:t> </w:t>
      </w:r>
      <w:r>
        <w:rPr>
          <w:w w:val="105"/>
        </w:rPr>
        <w:t>isolated from the samples were from subjects belonging to age group 21- 30 years while the least occurrence was from subjects above 40 years</w:t>
      </w:r>
      <w:r>
        <w:rPr>
          <w:spacing w:val="-22"/>
          <w:w w:val="105"/>
        </w:rPr>
        <w:t> </w:t>
      </w:r>
      <w:r>
        <w:rPr>
          <w:w w:val="105"/>
        </w:rPr>
        <w:t>of age with occurrence of</w:t>
      </w:r>
      <w:r>
        <w:rPr>
          <w:spacing w:val="-5"/>
          <w:w w:val="105"/>
        </w:rPr>
        <w:t> </w:t>
      </w:r>
      <w:r>
        <w:rPr>
          <w:w w:val="105"/>
        </w:rPr>
        <w:t>5.1%.</w:t>
      </w:r>
    </w:p>
    <w:p>
      <w:pPr>
        <w:pStyle w:val="BodyText"/>
        <w:spacing w:line="249" w:lineRule="auto" w:before="13"/>
        <w:ind w:left="296" w:right="861" w:hanging="1"/>
        <w:jc w:val="both"/>
      </w:pPr>
      <w:r>
        <w:rPr>
          <w:w w:val="105"/>
        </w:rPr>
        <w:t>The male to female </w:t>
      </w:r>
      <w:r>
        <w:rPr>
          <w:i/>
          <w:w w:val="105"/>
        </w:rPr>
        <w:t>Salmonella </w:t>
      </w:r>
      <w:r>
        <w:rPr>
          <w:w w:val="105"/>
        </w:rPr>
        <w:t>ser</w:t>
      </w:r>
      <w:r>
        <w:rPr>
          <w:i/>
          <w:w w:val="105"/>
        </w:rPr>
        <w:t>. Typhi </w:t>
      </w:r>
      <w:r>
        <w:rPr>
          <w:w w:val="105"/>
        </w:rPr>
        <w:t>isolation ratio in the study area was 1.1:1 while the male to female ratio in Yola and Gombi was 1.52:1 and 1.07:1 respectively. Although</w:t>
      </w:r>
      <w:r>
        <w:rPr>
          <w:spacing w:val="-33"/>
          <w:w w:val="105"/>
        </w:rPr>
        <w:t> </w:t>
      </w:r>
      <w:r>
        <w:rPr>
          <w:w w:val="105"/>
        </w:rPr>
        <w:t>overall more of the </w:t>
      </w:r>
      <w:r>
        <w:rPr>
          <w:i/>
          <w:w w:val="105"/>
        </w:rPr>
        <w:t>Salmonella </w:t>
      </w:r>
      <w:r>
        <w:rPr>
          <w:w w:val="105"/>
        </w:rPr>
        <w:t>ser</w:t>
      </w:r>
      <w:r>
        <w:rPr>
          <w:i/>
          <w:w w:val="105"/>
        </w:rPr>
        <w:t>. Typhi </w:t>
      </w:r>
      <w:r>
        <w:rPr>
          <w:w w:val="105"/>
        </w:rPr>
        <w:t>isolates</w:t>
      </w:r>
      <w:r>
        <w:rPr>
          <w:spacing w:val="-17"/>
          <w:w w:val="105"/>
        </w:rPr>
        <w:t> </w:t>
      </w:r>
      <w:r>
        <w:rPr>
          <w:w w:val="105"/>
        </w:rPr>
        <w:t>were isolated from males than females and from</w:t>
      </w:r>
      <w:r>
        <w:rPr>
          <w:spacing w:val="-27"/>
          <w:w w:val="105"/>
        </w:rPr>
        <w:t> </w:t>
      </w:r>
      <w:r>
        <w:rPr>
          <w:w w:val="105"/>
        </w:rPr>
        <w:t>Yola than Gombi the difference was not statistically significant at p=0.05 (Table 2). The recovery of the isolates in relation to sample collected revealed that more of the isolates were recovered from stool samples (above 30%) compared to blood samples with less than 10% isolation rate</w:t>
      </w:r>
    </w:p>
    <w:p>
      <w:pPr>
        <w:pStyle w:val="BodyText"/>
        <w:spacing w:line="249" w:lineRule="auto" w:before="11"/>
        <w:ind w:left="296" w:right="863"/>
        <w:jc w:val="both"/>
      </w:pPr>
      <w:r>
        <w:rPr>
          <w:w w:val="105"/>
        </w:rPr>
        <w:t>Results of antibiotics susceptibility test of isolates revealed that the highest susceptibility index of 6.45 was observed for ofloxacin while the least susceptibility index was for</w:t>
      </w:r>
      <w:r>
        <w:rPr>
          <w:spacing w:val="42"/>
          <w:w w:val="105"/>
        </w:rPr>
        <w:t> </w:t>
      </w:r>
      <w:r>
        <w:rPr>
          <w:w w:val="105"/>
        </w:rPr>
        <w:t>ampicillin</w:t>
      </w:r>
    </w:p>
    <w:p>
      <w:pPr>
        <w:pStyle w:val="BodyText"/>
        <w:spacing w:line="249" w:lineRule="auto" w:before="4"/>
        <w:ind w:left="296" w:right="860"/>
        <w:jc w:val="both"/>
      </w:pPr>
      <w:r>
        <w:rPr>
          <w:w w:val="105"/>
        </w:rPr>
        <w:t>0.11 (Table 3. High level of resistance was demonstrated </w:t>
      </w:r>
      <w:r>
        <w:rPr>
          <w:i/>
          <w:w w:val="105"/>
        </w:rPr>
        <w:t>in vitro </w:t>
      </w:r>
      <w:r>
        <w:rPr>
          <w:w w:val="105"/>
        </w:rPr>
        <w:t>by isolates from Gombi to ampicillin (94%), cotrimoxazole 25 (81%) and tetracycline 20 (65%) compared to isolates from Yola that showed high level resistance to ampicillin  47  (89%)  and tetracycline  39</w:t>
      </w:r>
      <w:r>
        <w:rPr>
          <w:spacing w:val="24"/>
          <w:w w:val="105"/>
        </w:rPr>
        <w:t> </w:t>
      </w:r>
      <w:r>
        <w:rPr>
          <w:w w:val="105"/>
        </w:rPr>
        <w:t>(74%)</w:t>
      </w:r>
    </w:p>
    <w:p>
      <w:pPr>
        <w:spacing w:after="0" w:line="249" w:lineRule="auto"/>
        <w:jc w:val="both"/>
        <w:sectPr>
          <w:type w:val="continuous"/>
          <w:pgSz w:w="12240" w:h="15840"/>
          <w:pgMar w:top="1160" w:bottom="280" w:left="1000" w:right="1020"/>
          <w:cols w:num="2" w:equalWidth="0">
            <w:col w:w="4948" w:space="40"/>
            <w:col w:w="5232"/>
          </w:cols>
        </w:sectPr>
      </w:pPr>
    </w:p>
    <w:p>
      <w:pPr>
        <w:pStyle w:val="BodyText"/>
        <w:spacing w:before="6"/>
        <w:rPr>
          <w:sz w:val="9"/>
        </w:rPr>
      </w:pPr>
    </w:p>
    <w:p>
      <w:pPr>
        <w:spacing w:after="0"/>
        <w:rPr>
          <w:sz w:val="9"/>
        </w:rPr>
        <w:sectPr>
          <w:headerReference w:type="default" r:id="rId14"/>
          <w:footerReference w:type="default" r:id="rId15"/>
          <w:pgSz w:w="12240" w:h="15840"/>
          <w:pgMar w:header="961" w:footer="1084" w:top="1160" w:bottom="1280" w:left="1000" w:right="1020"/>
        </w:sectPr>
      </w:pPr>
    </w:p>
    <w:p>
      <w:pPr>
        <w:pStyle w:val="BodyText"/>
        <w:spacing w:line="249" w:lineRule="auto" w:before="107"/>
        <w:ind w:left="871" w:right="1"/>
        <w:jc w:val="both"/>
      </w:pPr>
      <w:r>
        <w:rPr>
          <w:w w:val="105"/>
        </w:rPr>
        <w:t>(Table 3). A total of 23 isolates (27%) demonstrated in vitro resistance to ceftriaxone (Table 3). Greater susceptibility to ofloxacin 60 (71%) and Amoxicillin 55 (65%) was observed</w:t>
      </w:r>
    </w:p>
    <w:p>
      <w:pPr>
        <w:pStyle w:val="BodyText"/>
        <w:spacing w:before="2"/>
        <w:ind w:left="871"/>
        <w:jc w:val="both"/>
      </w:pPr>
      <w:r>
        <w:rPr>
          <w:w w:val="105"/>
        </w:rPr>
        <w:t>(Table 3).</w:t>
      </w:r>
    </w:p>
    <w:p>
      <w:pPr>
        <w:pStyle w:val="BodyText"/>
        <w:spacing w:line="249" w:lineRule="auto" w:before="9"/>
        <w:ind w:left="871"/>
        <w:jc w:val="both"/>
      </w:pPr>
      <w:r>
        <w:rPr>
          <w:w w:val="105"/>
        </w:rPr>
        <w:t>Furthermore, results of antibiotics susceptibility test of isolates revealed that over 70% of isolates from Yola and Gombi were multi drug resistant with 49% and 55% being quinolone resistant respectively (Table 3). Resistance to third generation cephalosporin was highest in Gombi (32%) when compared to 25% in Yola (Table 3). In all there were 57 </w:t>
      </w:r>
      <w:r>
        <w:rPr>
          <w:i/>
          <w:w w:val="105"/>
        </w:rPr>
        <w:t>Salmonella </w:t>
      </w:r>
      <w:r>
        <w:rPr>
          <w:w w:val="105"/>
        </w:rPr>
        <w:t>ser Typhi resistance phenotypes out of the 84 isolates from the study area. The most common R type in the area was Amp, C, Co and Tet</w:t>
      </w:r>
      <w:r>
        <w:rPr>
          <w:spacing w:val="-6"/>
          <w:w w:val="105"/>
        </w:rPr>
        <w:t> </w:t>
      </w:r>
      <w:r>
        <w:rPr>
          <w:w w:val="105"/>
        </w:rPr>
        <w:t>(5).</w:t>
      </w:r>
    </w:p>
    <w:p>
      <w:pPr>
        <w:pStyle w:val="BodyText"/>
        <w:spacing w:line="249" w:lineRule="auto" w:before="10"/>
        <w:ind w:left="871" w:right="1" w:firstLine="57"/>
        <w:jc w:val="both"/>
      </w:pPr>
      <w:r>
        <w:rPr>
          <w:w w:val="105"/>
        </w:rPr>
        <w:t>Results on investigation of the R- plasmid profile revealed that 51.2% of isolates from the study area possessed R Plasmids (Table 4). The distribution of the </w:t>
      </w:r>
      <w:r>
        <w:rPr>
          <w:i/>
          <w:w w:val="105"/>
        </w:rPr>
        <w:t>S. </w:t>
      </w:r>
      <w:r>
        <w:rPr>
          <w:w w:val="105"/>
        </w:rPr>
        <w:t>ser. Typhi isolates bearing R plasmid showed that 25 (47%) of isolates from Yola and 18 (58%) isolates from Gombi bored R plasmids. The most cured marker from the study was AmpCCo (20) which happens to be more in Gombi (11) than Yola. Plasmids bearing resistance to AmpCTet and AmpC Co-Ctx were only seen among isolates from Yola while isolates from Gombi harboured plasmids coding</w:t>
      </w:r>
    </w:p>
    <w:p>
      <w:pPr>
        <w:pStyle w:val="BodyText"/>
        <w:spacing w:line="249" w:lineRule="auto" w:before="107"/>
        <w:ind w:left="295" w:right="862"/>
        <w:jc w:val="both"/>
      </w:pPr>
      <w:r>
        <w:rPr/>
        <w:br w:type="column"/>
      </w:r>
      <w:r>
        <w:rPr>
          <w:w w:val="105"/>
        </w:rPr>
        <w:t>for AmpTetNaCo and AmoCoTet resistance which was not observed amongst isolates from Yola (Table 4).</w:t>
      </w:r>
    </w:p>
    <w:p>
      <w:pPr>
        <w:pStyle w:val="BodyText"/>
        <w:spacing w:line="249" w:lineRule="auto" w:before="1"/>
        <w:ind w:left="295" w:right="862"/>
        <w:jc w:val="both"/>
      </w:pPr>
      <w:r>
        <w:rPr>
          <w:w w:val="105"/>
        </w:rPr>
        <w:t>Screening of the isolates for extended</w:t>
      </w:r>
      <w:r>
        <w:rPr>
          <w:spacing w:val="-22"/>
          <w:w w:val="105"/>
        </w:rPr>
        <w:t> </w:t>
      </w:r>
      <w:r>
        <w:rPr>
          <w:w w:val="105"/>
        </w:rPr>
        <w:t>spectrum beta lactamase activity using the double disk synergy test revealed that 9 isolates namely; </w:t>
      </w:r>
      <w:r>
        <w:rPr>
          <w:i/>
          <w:w w:val="105"/>
        </w:rPr>
        <w:t>Salmonella</w:t>
      </w:r>
      <w:r>
        <w:rPr>
          <w:i/>
          <w:spacing w:val="16"/>
          <w:w w:val="105"/>
        </w:rPr>
        <w:t> </w:t>
      </w:r>
      <w:r>
        <w:rPr>
          <w:w w:val="105"/>
        </w:rPr>
        <w:t>ser</w:t>
      </w:r>
      <w:r>
        <w:rPr>
          <w:i/>
          <w:w w:val="105"/>
        </w:rPr>
        <w:t>.</w:t>
      </w:r>
      <w:r>
        <w:rPr>
          <w:i/>
          <w:spacing w:val="18"/>
          <w:w w:val="105"/>
        </w:rPr>
        <w:t> </w:t>
      </w:r>
      <w:r>
        <w:rPr>
          <w:w w:val="105"/>
        </w:rPr>
        <w:t>Typhi</w:t>
      </w:r>
      <w:r>
        <w:rPr>
          <w:spacing w:val="19"/>
          <w:w w:val="105"/>
        </w:rPr>
        <w:t> </w:t>
      </w:r>
      <w:r>
        <w:rPr>
          <w:w w:val="105"/>
        </w:rPr>
        <w:t>isolates</w:t>
      </w:r>
      <w:r>
        <w:rPr>
          <w:spacing w:val="18"/>
          <w:w w:val="105"/>
        </w:rPr>
        <w:t> </w:t>
      </w:r>
      <w:r>
        <w:rPr>
          <w:w w:val="105"/>
        </w:rPr>
        <w:t>GMB1,</w:t>
      </w:r>
      <w:r>
        <w:rPr>
          <w:spacing w:val="18"/>
          <w:w w:val="105"/>
        </w:rPr>
        <w:t> </w:t>
      </w:r>
      <w:r>
        <w:rPr>
          <w:w w:val="105"/>
        </w:rPr>
        <w:t>6,</w:t>
      </w:r>
      <w:r>
        <w:rPr>
          <w:spacing w:val="18"/>
          <w:w w:val="105"/>
        </w:rPr>
        <w:t> </w:t>
      </w:r>
      <w:r>
        <w:rPr>
          <w:w w:val="105"/>
        </w:rPr>
        <w:t>13,</w:t>
      </w:r>
      <w:r>
        <w:rPr>
          <w:spacing w:val="18"/>
          <w:w w:val="105"/>
        </w:rPr>
        <w:t> </w:t>
      </w:r>
      <w:r>
        <w:rPr>
          <w:w w:val="105"/>
        </w:rPr>
        <w:t>26</w:t>
      </w:r>
    </w:p>
    <w:p>
      <w:pPr>
        <w:pStyle w:val="BodyText"/>
        <w:spacing w:line="249" w:lineRule="auto" w:before="4"/>
        <w:ind w:left="295" w:right="861"/>
        <w:jc w:val="both"/>
      </w:pPr>
      <w:r>
        <w:rPr>
          <w:w w:val="105"/>
        </w:rPr>
        <w:t>and </w:t>
      </w:r>
      <w:r>
        <w:rPr>
          <w:i/>
          <w:w w:val="105"/>
        </w:rPr>
        <w:t>Salmonella </w:t>
      </w:r>
      <w:r>
        <w:rPr>
          <w:w w:val="105"/>
        </w:rPr>
        <w:t>ser</w:t>
      </w:r>
      <w:r>
        <w:rPr>
          <w:i/>
          <w:w w:val="105"/>
        </w:rPr>
        <w:t>. </w:t>
      </w:r>
      <w:r>
        <w:rPr>
          <w:w w:val="105"/>
        </w:rPr>
        <w:t>Typhi YLA 4, 11, 22, 31 and 42 showed positive ESBL activity. Result from the plasmid curing experiment revealed that some of the resistance to third generation cephalosporin was plasmid borne as resistance to ceftriaxone was among the cured markers although some were chromosomal (Table 4).</w:t>
      </w:r>
    </w:p>
    <w:p>
      <w:pPr>
        <w:pStyle w:val="BodyText"/>
        <w:spacing w:line="249" w:lineRule="auto" w:before="5"/>
        <w:ind w:left="295" w:right="861"/>
        <w:jc w:val="both"/>
      </w:pPr>
      <w:r>
        <w:rPr>
          <w:w w:val="105"/>
        </w:rPr>
        <w:t>Molecular screening of isolates for </w:t>
      </w:r>
      <w:r>
        <w:rPr>
          <w:i/>
          <w:w w:val="105"/>
        </w:rPr>
        <w:t>Bla</w:t>
      </w:r>
      <w:r>
        <w:rPr>
          <w:i/>
          <w:w w:val="105"/>
          <w:vertAlign w:val="subscript"/>
        </w:rPr>
        <w:t>ctx</w:t>
      </w:r>
      <w:r>
        <w:rPr>
          <w:i/>
          <w:w w:val="105"/>
          <w:vertAlign w:val="baseline"/>
        </w:rPr>
        <w:t> </w:t>
      </w:r>
      <w:r>
        <w:rPr>
          <w:w w:val="105"/>
          <w:vertAlign w:val="baseline"/>
        </w:rPr>
        <w:t>gene revealed that 4 out of 25 isolates (16%) screened for the gene were positive (lanes 12, 13, 21 and 24) (Figure 2). The isolates that bored the genes were; </w:t>
      </w:r>
      <w:r>
        <w:rPr>
          <w:i/>
          <w:w w:val="105"/>
          <w:vertAlign w:val="baseline"/>
        </w:rPr>
        <w:t>Salmonella </w:t>
      </w:r>
      <w:r>
        <w:rPr>
          <w:w w:val="105"/>
          <w:vertAlign w:val="baseline"/>
        </w:rPr>
        <w:t>ser. Typhi YLA 46 (lane 13) YLA41 and YLA 7 (lane 21 and 24). (Figure 2). One isolate from Gombi tested positive for chromosomal gene coding for </w:t>
      </w:r>
      <w:r>
        <w:rPr>
          <w:i/>
          <w:w w:val="105"/>
          <w:vertAlign w:val="baseline"/>
        </w:rPr>
        <w:t>Blactx </w:t>
      </w:r>
      <w:r>
        <w:rPr>
          <w:w w:val="105"/>
          <w:vertAlign w:val="baseline"/>
        </w:rPr>
        <w:t>that is </w:t>
      </w:r>
      <w:r>
        <w:rPr>
          <w:i/>
          <w:w w:val="105"/>
          <w:vertAlign w:val="baseline"/>
        </w:rPr>
        <w:t>Salmonella </w:t>
      </w:r>
      <w:r>
        <w:rPr>
          <w:w w:val="105"/>
          <w:vertAlign w:val="baseline"/>
        </w:rPr>
        <w:t>ser</w:t>
      </w:r>
      <w:r>
        <w:rPr>
          <w:i/>
          <w:w w:val="105"/>
          <w:vertAlign w:val="baseline"/>
        </w:rPr>
        <w:t>. Typhi </w:t>
      </w:r>
      <w:r>
        <w:rPr>
          <w:w w:val="105"/>
          <w:vertAlign w:val="baseline"/>
        </w:rPr>
        <w:t>GMB 17. The Resistance phenotypes of the isolates are Amx Amp Co Tet Ofl Ctx Cp Na for </w:t>
      </w:r>
      <w:r>
        <w:rPr>
          <w:i/>
          <w:w w:val="105"/>
          <w:vertAlign w:val="baseline"/>
        </w:rPr>
        <w:t>Salmonella </w:t>
      </w:r>
      <w:r>
        <w:rPr>
          <w:w w:val="105"/>
          <w:vertAlign w:val="baseline"/>
        </w:rPr>
        <w:t>ser</w:t>
      </w:r>
      <w:r>
        <w:rPr>
          <w:i/>
          <w:w w:val="105"/>
          <w:vertAlign w:val="baseline"/>
        </w:rPr>
        <w:t>. Typhi </w:t>
      </w:r>
      <w:r>
        <w:rPr>
          <w:w w:val="105"/>
          <w:vertAlign w:val="baseline"/>
        </w:rPr>
        <w:t>YLA 46, Amp C Co Tet Ctx and Amp Tet Ofl Ctx Cp Na for </w:t>
      </w:r>
      <w:r>
        <w:rPr>
          <w:i/>
          <w:w w:val="105"/>
          <w:vertAlign w:val="baseline"/>
        </w:rPr>
        <w:t>Salmonella </w:t>
      </w:r>
      <w:r>
        <w:rPr>
          <w:w w:val="105"/>
          <w:vertAlign w:val="baseline"/>
        </w:rPr>
        <w:t>ser</w:t>
      </w:r>
      <w:r>
        <w:rPr>
          <w:i/>
          <w:w w:val="105"/>
          <w:vertAlign w:val="baseline"/>
        </w:rPr>
        <w:t>. </w:t>
      </w:r>
      <w:r>
        <w:rPr>
          <w:w w:val="105"/>
          <w:vertAlign w:val="baseline"/>
        </w:rPr>
        <w:t>Typhi YLA 41, and YLA</w:t>
      </w:r>
      <w:r>
        <w:rPr>
          <w:spacing w:val="-5"/>
          <w:w w:val="105"/>
          <w:vertAlign w:val="baseline"/>
        </w:rPr>
        <w:t> </w:t>
      </w:r>
      <w:r>
        <w:rPr>
          <w:w w:val="105"/>
          <w:vertAlign w:val="baseline"/>
        </w:rPr>
        <w:t>7.</w:t>
      </w:r>
    </w:p>
    <w:p>
      <w:pPr>
        <w:spacing w:after="0" w:line="249" w:lineRule="auto"/>
        <w:jc w:val="both"/>
        <w:sectPr>
          <w:type w:val="continuous"/>
          <w:pgSz w:w="12240" w:h="15840"/>
          <w:pgMar w:top="1160" w:bottom="280" w:left="1000" w:right="1020"/>
          <w:cols w:num="2" w:equalWidth="0">
            <w:col w:w="4948" w:space="40"/>
            <w:col w:w="5232"/>
          </w:cols>
        </w:sectPr>
      </w:pPr>
    </w:p>
    <w:p>
      <w:pPr>
        <w:pStyle w:val="BodyText"/>
        <w:spacing w:before="5"/>
        <w:rPr>
          <w:sz w:val="10"/>
        </w:rPr>
      </w:pPr>
    </w:p>
    <w:p>
      <w:pPr>
        <w:pStyle w:val="Heading2"/>
        <w:spacing w:line="254" w:lineRule="auto" w:before="107"/>
        <w:ind w:left="872" w:right="1133"/>
        <w:jc w:val="left"/>
      </w:pPr>
      <w:r>
        <w:rPr>
          <w:w w:val="105"/>
        </w:rPr>
        <w:t>Table 1: Distribution of </w:t>
      </w:r>
      <w:r>
        <w:rPr>
          <w:i/>
          <w:w w:val="105"/>
        </w:rPr>
        <w:t>Salmonella </w:t>
      </w:r>
      <w:r>
        <w:rPr>
          <w:w w:val="105"/>
        </w:rPr>
        <w:t>ser</w:t>
      </w:r>
      <w:r>
        <w:rPr>
          <w:i/>
          <w:w w:val="105"/>
        </w:rPr>
        <w:t>. Typhi </w:t>
      </w:r>
      <w:r>
        <w:rPr>
          <w:w w:val="105"/>
        </w:rPr>
        <w:t>based on age isolated from the different categories of sample types from the study area</w:t>
      </w:r>
    </w:p>
    <w:p>
      <w:pPr>
        <w:pStyle w:val="BodyText"/>
        <w:spacing w:line="20" w:lineRule="exact"/>
        <w:ind w:left="965"/>
        <w:rPr>
          <w:sz w:val="2"/>
        </w:rPr>
      </w:pPr>
      <w:r>
        <w:rPr>
          <w:sz w:val="2"/>
        </w:rPr>
        <w:pict>
          <v:group style="width:414.4pt;height:.5pt;mso-position-horizontal-relative:char;mso-position-vertical-relative:line" coordorigin="0,0" coordsize="8288,10">
            <v:line style="position:absolute" from="0,5" to="1195,5" stroked="true" strokeweight=".48pt" strokecolor="#000000">
              <v:stroke dashstyle="solid"/>
            </v:line>
            <v:rect style="position:absolute;left:1195;top:0;width:8;height:10" filled="true" fillcolor="#000000" stroked="false">
              <v:fill type="solid"/>
            </v:rect>
            <v:line style="position:absolute" from="1202,5" to="3506,5" stroked="true" strokeweight=".48pt" strokecolor="#000000">
              <v:stroke dashstyle="solid"/>
            </v:line>
            <v:rect style="position:absolute;left:3506;top:0;width:10;height:10" filled="true" fillcolor="#000000" stroked="false">
              <v:fill type="solid"/>
            </v:rect>
            <v:line style="position:absolute" from="3516,5" to="5794,5" stroked="true" strokeweight=".48pt" strokecolor="#000000">
              <v:stroke dashstyle="solid"/>
            </v:line>
            <v:rect style="position:absolute;left:5793;top:0;width:10;height:10" filled="true" fillcolor="#000000" stroked="false">
              <v:fill type="solid"/>
            </v:rect>
            <v:line style="position:absolute" from="5803,5" to="7042,5" stroked="true" strokeweight=".48pt" strokecolor="#000000">
              <v:stroke dashstyle="solid"/>
            </v:line>
            <v:rect style="position:absolute;left:7041;top:0;width:10;height:10" filled="true" fillcolor="#000000" stroked="false">
              <v:fill type="solid"/>
            </v:rect>
            <v:line style="position:absolute" from="7051,5" to="8287,5" stroked="true" strokeweight=".48pt" strokecolor="#000000">
              <v:stroke dashstyle="solid"/>
            </v:line>
          </v:group>
        </w:pict>
      </w:r>
      <w:r>
        <w:rPr>
          <w:sz w:val="2"/>
        </w:rPr>
      </w:r>
    </w:p>
    <w:p>
      <w:pPr>
        <w:pStyle w:val="Heading3"/>
        <w:tabs>
          <w:tab w:pos="5074" w:val="left" w:leader="none"/>
          <w:tab w:pos="7143" w:val="left" w:leader="none"/>
          <w:tab w:pos="8309" w:val="left" w:leader="none"/>
        </w:tabs>
        <w:spacing w:line="240" w:lineRule="auto"/>
        <w:ind w:left="2854"/>
        <w:rPr>
          <w:rFonts w:ascii="Trebuchet MS"/>
          <w:i/>
        </w:rPr>
      </w:pPr>
      <w:r>
        <w:rPr>
          <w:rFonts w:ascii="Trebuchet MS"/>
          <w:i/>
          <w:w w:val="105"/>
        </w:rPr>
        <w:t>Yola</w:t>
      </w:r>
      <w:r>
        <w:rPr>
          <w:rFonts w:ascii="Trebuchet MS"/>
          <w:i/>
          <w:spacing w:val="-4"/>
          <w:w w:val="105"/>
        </w:rPr>
        <w:t> </w:t>
      </w:r>
      <w:r>
        <w:rPr>
          <w:rFonts w:ascii="Trebuchet MS"/>
          <w:i/>
          <w:w w:val="105"/>
        </w:rPr>
        <w:t>(256)</w:t>
      </w:r>
      <w:r>
        <w:rPr>
          <w:b w:val="0"/>
          <w:i w:val="0"/>
          <w:w w:val="105"/>
        </w:rPr>
        <w:tab/>
      </w:r>
      <w:r>
        <w:rPr>
          <w:rFonts w:ascii="Trebuchet MS"/>
          <w:i/>
          <w:w w:val="105"/>
        </w:rPr>
        <w:t>Gombi</w:t>
      </w:r>
      <w:r>
        <w:rPr>
          <w:rFonts w:ascii="Trebuchet MS"/>
          <w:i/>
          <w:spacing w:val="-5"/>
          <w:w w:val="105"/>
        </w:rPr>
        <w:t> </w:t>
      </w:r>
      <w:r>
        <w:rPr>
          <w:rFonts w:ascii="Trebuchet MS"/>
          <w:i/>
          <w:w w:val="105"/>
        </w:rPr>
        <w:t>(223)</w:t>
      </w:r>
      <w:r>
        <w:rPr>
          <w:b w:val="0"/>
          <w:i w:val="0"/>
          <w:w w:val="105"/>
        </w:rPr>
        <w:tab/>
      </w:r>
      <w:r>
        <w:rPr>
          <w:rFonts w:ascii="Trebuchet MS"/>
          <w:i/>
          <w:w w:val="105"/>
        </w:rPr>
        <w:t>Total</w:t>
      </w:r>
      <w:r>
        <w:rPr>
          <w:b w:val="0"/>
          <w:i w:val="0"/>
          <w:w w:val="105"/>
        </w:rPr>
        <w:tab/>
      </w:r>
      <w:r>
        <w:rPr>
          <w:rFonts w:ascii="Trebuchet MS"/>
          <w:i/>
          <w:w w:val="105"/>
        </w:rPr>
        <w:t>P</w:t>
      </w:r>
      <w:r>
        <w:rPr>
          <w:rFonts w:ascii="Trebuchet MS"/>
          <w:i/>
          <w:spacing w:val="-1"/>
          <w:w w:val="105"/>
        </w:rPr>
        <w:t> </w:t>
      </w:r>
      <w:r>
        <w:rPr>
          <w:rFonts w:ascii="Trebuchet MS"/>
          <w:i/>
          <w:w w:val="105"/>
        </w:rPr>
        <w:t>value</w:t>
      </w:r>
    </w:p>
    <w:p>
      <w:pPr>
        <w:pStyle w:val="BodyText"/>
        <w:spacing w:before="9"/>
        <w:rPr>
          <w:b/>
          <w:i/>
          <w:sz w:val="6"/>
        </w:rPr>
      </w:pPr>
    </w:p>
    <w:tbl>
      <w:tblPr>
        <w:tblW w:w="0" w:type="auto"/>
        <w:jc w:val="left"/>
        <w:tblInd w:w="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9"/>
        <w:gridCol w:w="1190"/>
        <w:gridCol w:w="1220"/>
        <w:gridCol w:w="1045"/>
        <w:gridCol w:w="1158"/>
        <w:gridCol w:w="2563"/>
      </w:tblGrid>
      <w:tr>
        <w:trPr>
          <w:trHeight w:val="212" w:hRule="atLeast"/>
        </w:trPr>
        <w:tc>
          <w:tcPr>
            <w:tcW w:w="1119" w:type="dxa"/>
            <w:vMerge w:val="restart"/>
            <w:tcBorders>
              <w:bottom w:val="single" w:sz="4" w:space="0" w:color="000000"/>
            </w:tcBorders>
          </w:tcPr>
          <w:p>
            <w:pPr>
              <w:pStyle w:val="TableParagraph"/>
              <w:spacing w:line="240" w:lineRule="auto" w:before="0"/>
              <w:jc w:val="left"/>
              <w:rPr>
                <w:rFonts w:ascii="Times New Roman"/>
                <w:sz w:val="18"/>
              </w:rPr>
            </w:pPr>
          </w:p>
        </w:tc>
        <w:tc>
          <w:tcPr>
            <w:tcW w:w="1190" w:type="dxa"/>
          </w:tcPr>
          <w:p>
            <w:pPr>
              <w:pStyle w:val="TableParagraph"/>
              <w:spacing w:line="186" w:lineRule="exact"/>
              <w:ind w:right="258"/>
              <w:jc w:val="right"/>
              <w:rPr>
                <w:b/>
                <w:sz w:val="18"/>
              </w:rPr>
            </w:pPr>
            <w:r>
              <w:rPr>
                <w:b/>
                <w:sz w:val="18"/>
              </w:rPr>
              <w:t>Blood</w:t>
            </w:r>
          </w:p>
        </w:tc>
        <w:tc>
          <w:tcPr>
            <w:tcW w:w="1220" w:type="dxa"/>
          </w:tcPr>
          <w:p>
            <w:pPr>
              <w:pStyle w:val="TableParagraph"/>
              <w:spacing w:line="186" w:lineRule="exact"/>
              <w:ind w:left="240" w:right="153"/>
              <w:rPr>
                <w:b/>
                <w:sz w:val="18"/>
              </w:rPr>
            </w:pPr>
            <w:r>
              <w:rPr>
                <w:b/>
                <w:w w:val="105"/>
                <w:sz w:val="18"/>
              </w:rPr>
              <w:t>Stool</w:t>
            </w:r>
          </w:p>
        </w:tc>
        <w:tc>
          <w:tcPr>
            <w:tcW w:w="1045" w:type="dxa"/>
          </w:tcPr>
          <w:p>
            <w:pPr>
              <w:pStyle w:val="TableParagraph"/>
              <w:spacing w:line="186" w:lineRule="exact"/>
              <w:ind w:right="223"/>
              <w:jc w:val="right"/>
              <w:rPr>
                <w:b/>
                <w:sz w:val="18"/>
              </w:rPr>
            </w:pPr>
            <w:r>
              <w:rPr>
                <w:b/>
                <w:sz w:val="18"/>
              </w:rPr>
              <w:t>Blood</w:t>
            </w:r>
          </w:p>
        </w:tc>
        <w:tc>
          <w:tcPr>
            <w:tcW w:w="1158" w:type="dxa"/>
          </w:tcPr>
          <w:p>
            <w:pPr>
              <w:pStyle w:val="TableParagraph"/>
              <w:spacing w:line="186" w:lineRule="exact"/>
              <w:ind w:left="452"/>
              <w:jc w:val="left"/>
              <w:rPr>
                <w:b/>
                <w:sz w:val="18"/>
              </w:rPr>
            </w:pPr>
            <w:r>
              <w:rPr>
                <w:b/>
                <w:w w:val="105"/>
                <w:sz w:val="18"/>
              </w:rPr>
              <w:t>Stool</w:t>
            </w:r>
          </w:p>
        </w:tc>
        <w:tc>
          <w:tcPr>
            <w:tcW w:w="2563" w:type="dxa"/>
            <w:vMerge w:val="restart"/>
            <w:tcBorders>
              <w:bottom w:val="single" w:sz="4" w:space="0" w:color="000000"/>
            </w:tcBorders>
          </w:tcPr>
          <w:p>
            <w:pPr>
              <w:pStyle w:val="TableParagraph"/>
              <w:spacing w:line="240" w:lineRule="auto" w:before="0"/>
              <w:jc w:val="left"/>
              <w:rPr>
                <w:rFonts w:ascii="Times New Roman"/>
                <w:sz w:val="18"/>
              </w:rPr>
            </w:pPr>
          </w:p>
        </w:tc>
      </w:tr>
      <w:tr>
        <w:trPr>
          <w:trHeight w:val="218" w:hRule="atLeast"/>
        </w:trPr>
        <w:tc>
          <w:tcPr>
            <w:tcW w:w="1119" w:type="dxa"/>
            <w:vMerge/>
            <w:tcBorders>
              <w:top w:val="nil"/>
              <w:bottom w:val="single" w:sz="4" w:space="0" w:color="000000"/>
            </w:tcBorders>
          </w:tcPr>
          <w:p>
            <w:pPr>
              <w:rPr>
                <w:sz w:val="2"/>
                <w:szCs w:val="2"/>
              </w:rPr>
            </w:pPr>
          </w:p>
        </w:tc>
        <w:tc>
          <w:tcPr>
            <w:tcW w:w="1190" w:type="dxa"/>
            <w:tcBorders>
              <w:bottom w:val="single" w:sz="4" w:space="0" w:color="000000"/>
            </w:tcBorders>
          </w:tcPr>
          <w:p>
            <w:pPr>
              <w:pStyle w:val="TableParagraph"/>
              <w:spacing w:line="199" w:lineRule="exact" w:before="2"/>
              <w:ind w:right="264"/>
              <w:jc w:val="right"/>
              <w:rPr>
                <w:b/>
                <w:sz w:val="18"/>
              </w:rPr>
            </w:pPr>
            <w:r>
              <w:rPr>
                <w:b/>
                <w:sz w:val="18"/>
              </w:rPr>
              <w:t>(148)</w:t>
            </w:r>
          </w:p>
        </w:tc>
        <w:tc>
          <w:tcPr>
            <w:tcW w:w="1220" w:type="dxa"/>
            <w:tcBorders>
              <w:bottom w:val="single" w:sz="4" w:space="0" w:color="000000"/>
            </w:tcBorders>
          </w:tcPr>
          <w:p>
            <w:pPr>
              <w:pStyle w:val="TableParagraph"/>
              <w:spacing w:line="199" w:lineRule="exact" w:before="2"/>
              <w:ind w:left="240" w:right="154"/>
              <w:rPr>
                <w:b/>
                <w:sz w:val="18"/>
              </w:rPr>
            </w:pPr>
            <w:r>
              <w:rPr>
                <w:b/>
                <w:w w:val="105"/>
                <w:sz w:val="18"/>
              </w:rPr>
              <w:t>(108)</w:t>
            </w:r>
          </w:p>
        </w:tc>
        <w:tc>
          <w:tcPr>
            <w:tcW w:w="1045" w:type="dxa"/>
            <w:tcBorders>
              <w:bottom w:val="single" w:sz="4" w:space="0" w:color="000000"/>
            </w:tcBorders>
          </w:tcPr>
          <w:p>
            <w:pPr>
              <w:pStyle w:val="TableParagraph"/>
              <w:spacing w:line="199" w:lineRule="exact" w:before="2"/>
              <w:ind w:right="232"/>
              <w:jc w:val="right"/>
              <w:rPr>
                <w:b/>
                <w:sz w:val="18"/>
              </w:rPr>
            </w:pPr>
            <w:r>
              <w:rPr>
                <w:b/>
                <w:sz w:val="18"/>
              </w:rPr>
              <w:t>(143)</w:t>
            </w:r>
          </w:p>
        </w:tc>
        <w:tc>
          <w:tcPr>
            <w:tcW w:w="1158" w:type="dxa"/>
            <w:tcBorders>
              <w:bottom w:val="single" w:sz="4" w:space="0" w:color="000000"/>
            </w:tcBorders>
          </w:tcPr>
          <w:p>
            <w:pPr>
              <w:pStyle w:val="TableParagraph"/>
              <w:spacing w:line="199" w:lineRule="exact" w:before="2"/>
              <w:ind w:left="493"/>
              <w:jc w:val="left"/>
              <w:rPr>
                <w:b/>
                <w:sz w:val="18"/>
              </w:rPr>
            </w:pPr>
            <w:r>
              <w:rPr>
                <w:b/>
                <w:w w:val="105"/>
                <w:sz w:val="18"/>
              </w:rPr>
              <w:t>(80)</w:t>
            </w:r>
          </w:p>
        </w:tc>
        <w:tc>
          <w:tcPr>
            <w:tcW w:w="2563" w:type="dxa"/>
            <w:vMerge/>
            <w:tcBorders>
              <w:top w:val="nil"/>
              <w:bottom w:val="single" w:sz="4" w:space="0" w:color="000000"/>
            </w:tcBorders>
          </w:tcPr>
          <w:p>
            <w:pPr>
              <w:rPr>
                <w:sz w:val="2"/>
                <w:szCs w:val="2"/>
              </w:rPr>
            </w:pPr>
          </w:p>
        </w:tc>
      </w:tr>
      <w:tr>
        <w:trPr>
          <w:trHeight w:val="212" w:hRule="atLeast"/>
        </w:trPr>
        <w:tc>
          <w:tcPr>
            <w:tcW w:w="1119" w:type="dxa"/>
            <w:tcBorders>
              <w:top w:val="single" w:sz="4" w:space="0" w:color="000000"/>
            </w:tcBorders>
          </w:tcPr>
          <w:p>
            <w:pPr>
              <w:pStyle w:val="TableParagraph"/>
              <w:spacing w:line="190" w:lineRule="exact" w:before="0"/>
              <w:ind w:left="109"/>
              <w:jc w:val="left"/>
              <w:rPr>
                <w:sz w:val="18"/>
              </w:rPr>
            </w:pPr>
            <w:r>
              <w:rPr>
                <w:w w:val="105"/>
                <w:sz w:val="18"/>
              </w:rPr>
              <w:t>≤10</w:t>
            </w:r>
          </w:p>
        </w:tc>
        <w:tc>
          <w:tcPr>
            <w:tcW w:w="1190" w:type="dxa"/>
            <w:tcBorders>
              <w:top w:val="single" w:sz="4" w:space="0" w:color="000000"/>
            </w:tcBorders>
          </w:tcPr>
          <w:p>
            <w:pPr>
              <w:pStyle w:val="TableParagraph"/>
              <w:spacing w:line="190" w:lineRule="exact" w:before="0"/>
              <w:ind w:left="186"/>
              <w:rPr>
                <w:sz w:val="18"/>
              </w:rPr>
            </w:pPr>
            <w:r>
              <w:rPr>
                <w:w w:val="103"/>
                <w:sz w:val="18"/>
              </w:rPr>
              <w:t>0</w:t>
            </w:r>
          </w:p>
        </w:tc>
        <w:tc>
          <w:tcPr>
            <w:tcW w:w="1220" w:type="dxa"/>
            <w:tcBorders>
              <w:top w:val="single" w:sz="4" w:space="0" w:color="000000"/>
            </w:tcBorders>
          </w:tcPr>
          <w:p>
            <w:pPr>
              <w:pStyle w:val="TableParagraph"/>
              <w:spacing w:line="190" w:lineRule="exact" w:before="0"/>
              <w:ind w:left="84"/>
              <w:rPr>
                <w:sz w:val="18"/>
              </w:rPr>
            </w:pPr>
            <w:r>
              <w:rPr>
                <w:w w:val="103"/>
                <w:sz w:val="18"/>
              </w:rPr>
              <w:t>2</w:t>
            </w:r>
          </w:p>
        </w:tc>
        <w:tc>
          <w:tcPr>
            <w:tcW w:w="1045" w:type="dxa"/>
            <w:tcBorders>
              <w:top w:val="single" w:sz="4" w:space="0" w:color="000000"/>
            </w:tcBorders>
          </w:tcPr>
          <w:p>
            <w:pPr>
              <w:pStyle w:val="TableParagraph"/>
              <w:spacing w:line="190" w:lineRule="exact" w:before="0"/>
              <w:ind w:left="104"/>
              <w:rPr>
                <w:sz w:val="18"/>
              </w:rPr>
            </w:pPr>
            <w:r>
              <w:rPr>
                <w:w w:val="103"/>
                <w:sz w:val="18"/>
              </w:rPr>
              <w:t>0</w:t>
            </w:r>
          </w:p>
        </w:tc>
        <w:tc>
          <w:tcPr>
            <w:tcW w:w="1158" w:type="dxa"/>
            <w:tcBorders>
              <w:top w:val="single" w:sz="4" w:space="0" w:color="000000"/>
            </w:tcBorders>
          </w:tcPr>
          <w:p>
            <w:pPr>
              <w:pStyle w:val="TableParagraph"/>
              <w:spacing w:line="190" w:lineRule="exact" w:before="0"/>
              <w:ind w:left="186"/>
              <w:rPr>
                <w:sz w:val="18"/>
              </w:rPr>
            </w:pPr>
            <w:r>
              <w:rPr>
                <w:w w:val="103"/>
                <w:sz w:val="18"/>
              </w:rPr>
              <w:t>0</w:t>
            </w:r>
          </w:p>
        </w:tc>
        <w:tc>
          <w:tcPr>
            <w:tcW w:w="2563" w:type="dxa"/>
            <w:tcBorders>
              <w:top w:val="single" w:sz="4" w:space="0" w:color="000000"/>
            </w:tcBorders>
          </w:tcPr>
          <w:p>
            <w:pPr>
              <w:pStyle w:val="TableParagraph"/>
              <w:spacing w:line="190" w:lineRule="exact" w:before="0"/>
              <w:ind w:left="170"/>
              <w:jc w:val="left"/>
              <w:rPr>
                <w:sz w:val="18"/>
              </w:rPr>
            </w:pPr>
            <w:r>
              <w:rPr>
                <w:w w:val="105"/>
                <w:sz w:val="18"/>
              </w:rPr>
              <w:t>2(6.3)</w:t>
            </w:r>
          </w:p>
        </w:tc>
      </w:tr>
      <w:tr>
        <w:trPr>
          <w:trHeight w:val="218" w:hRule="atLeast"/>
        </w:trPr>
        <w:tc>
          <w:tcPr>
            <w:tcW w:w="1119" w:type="dxa"/>
          </w:tcPr>
          <w:p>
            <w:pPr>
              <w:pStyle w:val="TableParagraph"/>
              <w:ind w:left="109"/>
              <w:jc w:val="left"/>
              <w:rPr>
                <w:sz w:val="18"/>
              </w:rPr>
            </w:pPr>
            <w:r>
              <w:rPr>
                <w:w w:val="105"/>
                <w:sz w:val="18"/>
              </w:rPr>
              <w:t>(n-32)</w:t>
            </w:r>
          </w:p>
        </w:tc>
        <w:tc>
          <w:tcPr>
            <w:tcW w:w="1190" w:type="dxa"/>
          </w:tcPr>
          <w:p>
            <w:pPr>
              <w:pStyle w:val="TableParagraph"/>
              <w:spacing w:line="240" w:lineRule="auto" w:before="0"/>
              <w:jc w:val="left"/>
              <w:rPr>
                <w:rFonts w:ascii="Times New Roman"/>
                <w:sz w:val="14"/>
              </w:rPr>
            </w:pPr>
          </w:p>
        </w:tc>
        <w:tc>
          <w:tcPr>
            <w:tcW w:w="1220" w:type="dxa"/>
          </w:tcPr>
          <w:p>
            <w:pPr>
              <w:pStyle w:val="TableParagraph"/>
              <w:spacing w:line="240" w:lineRule="auto" w:before="0"/>
              <w:jc w:val="left"/>
              <w:rPr>
                <w:rFonts w:ascii="Times New Roman"/>
                <w:sz w:val="14"/>
              </w:rPr>
            </w:pPr>
          </w:p>
        </w:tc>
        <w:tc>
          <w:tcPr>
            <w:tcW w:w="1045" w:type="dxa"/>
          </w:tcPr>
          <w:p>
            <w:pPr>
              <w:pStyle w:val="TableParagraph"/>
              <w:spacing w:line="240" w:lineRule="auto" w:before="0"/>
              <w:jc w:val="left"/>
              <w:rPr>
                <w:rFonts w:ascii="Times New Roman"/>
                <w:sz w:val="14"/>
              </w:rPr>
            </w:pPr>
          </w:p>
        </w:tc>
        <w:tc>
          <w:tcPr>
            <w:tcW w:w="1158" w:type="dxa"/>
          </w:tcPr>
          <w:p>
            <w:pPr>
              <w:pStyle w:val="TableParagraph"/>
              <w:spacing w:line="240" w:lineRule="auto" w:before="0"/>
              <w:jc w:val="left"/>
              <w:rPr>
                <w:rFonts w:ascii="Times New Roman"/>
                <w:sz w:val="14"/>
              </w:rPr>
            </w:pPr>
          </w:p>
        </w:tc>
        <w:tc>
          <w:tcPr>
            <w:tcW w:w="2563" w:type="dxa"/>
          </w:tcPr>
          <w:p>
            <w:pPr>
              <w:pStyle w:val="TableParagraph"/>
              <w:spacing w:line="240" w:lineRule="auto" w:before="0"/>
              <w:jc w:val="left"/>
              <w:rPr>
                <w:rFonts w:ascii="Times New Roman"/>
                <w:sz w:val="14"/>
              </w:rPr>
            </w:pPr>
          </w:p>
        </w:tc>
      </w:tr>
      <w:tr>
        <w:trPr>
          <w:trHeight w:val="217" w:hRule="atLeast"/>
        </w:trPr>
        <w:tc>
          <w:tcPr>
            <w:tcW w:w="1119" w:type="dxa"/>
          </w:tcPr>
          <w:p>
            <w:pPr>
              <w:pStyle w:val="TableParagraph"/>
              <w:spacing w:line="190" w:lineRule="exact"/>
              <w:ind w:left="109"/>
              <w:jc w:val="left"/>
              <w:rPr>
                <w:sz w:val="18"/>
              </w:rPr>
            </w:pPr>
            <w:r>
              <w:rPr>
                <w:w w:val="105"/>
                <w:sz w:val="18"/>
              </w:rPr>
              <w:t>11-20</w:t>
            </w:r>
          </w:p>
        </w:tc>
        <w:tc>
          <w:tcPr>
            <w:tcW w:w="1190" w:type="dxa"/>
          </w:tcPr>
          <w:p>
            <w:pPr>
              <w:pStyle w:val="TableParagraph"/>
              <w:spacing w:line="190" w:lineRule="exact"/>
              <w:ind w:left="186"/>
              <w:rPr>
                <w:sz w:val="18"/>
              </w:rPr>
            </w:pPr>
            <w:r>
              <w:rPr>
                <w:w w:val="103"/>
                <w:sz w:val="18"/>
              </w:rPr>
              <w:t>3</w:t>
            </w:r>
          </w:p>
        </w:tc>
        <w:tc>
          <w:tcPr>
            <w:tcW w:w="1220" w:type="dxa"/>
          </w:tcPr>
          <w:p>
            <w:pPr>
              <w:pStyle w:val="TableParagraph"/>
              <w:spacing w:line="190" w:lineRule="exact"/>
              <w:ind w:left="240" w:right="151"/>
              <w:rPr>
                <w:sz w:val="18"/>
              </w:rPr>
            </w:pPr>
            <w:r>
              <w:rPr>
                <w:w w:val="105"/>
                <w:sz w:val="18"/>
              </w:rPr>
              <w:t>11</w:t>
            </w:r>
          </w:p>
        </w:tc>
        <w:tc>
          <w:tcPr>
            <w:tcW w:w="1045" w:type="dxa"/>
          </w:tcPr>
          <w:p>
            <w:pPr>
              <w:pStyle w:val="TableParagraph"/>
              <w:spacing w:line="190" w:lineRule="exact"/>
              <w:ind w:left="104"/>
              <w:rPr>
                <w:sz w:val="18"/>
              </w:rPr>
            </w:pPr>
            <w:r>
              <w:rPr>
                <w:w w:val="103"/>
                <w:sz w:val="18"/>
              </w:rPr>
              <w:t>2</w:t>
            </w:r>
          </w:p>
        </w:tc>
        <w:tc>
          <w:tcPr>
            <w:tcW w:w="1158" w:type="dxa"/>
          </w:tcPr>
          <w:p>
            <w:pPr>
              <w:pStyle w:val="TableParagraph"/>
              <w:spacing w:line="190" w:lineRule="exact"/>
              <w:ind w:left="186"/>
              <w:rPr>
                <w:sz w:val="18"/>
              </w:rPr>
            </w:pPr>
            <w:r>
              <w:rPr>
                <w:w w:val="103"/>
                <w:sz w:val="18"/>
              </w:rPr>
              <w:t>6</w:t>
            </w:r>
          </w:p>
        </w:tc>
        <w:tc>
          <w:tcPr>
            <w:tcW w:w="2563" w:type="dxa"/>
          </w:tcPr>
          <w:p>
            <w:pPr>
              <w:pStyle w:val="TableParagraph"/>
              <w:spacing w:line="190" w:lineRule="exact"/>
              <w:ind w:left="170"/>
              <w:jc w:val="left"/>
              <w:rPr>
                <w:sz w:val="18"/>
              </w:rPr>
            </w:pPr>
            <w:r>
              <w:rPr>
                <w:w w:val="105"/>
                <w:sz w:val="18"/>
              </w:rPr>
              <w:t>22(23.7)</w:t>
            </w:r>
          </w:p>
        </w:tc>
      </w:tr>
      <w:tr>
        <w:trPr>
          <w:trHeight w:val="218" w:hRule="atLeast"/>
        </w:trPr>
        <w:tc>
          <w:tcPr>
            <w:tcW w:w="1119" w:type="dxa"/>
          </w:tcPr>
          <w:p>
            <w:pPr>
              <w:pStyle w:val="TableParagraph"/>
              <w:spacing w:line="192" w:lineRule="exact" w:before="6"/>
              <w:ind w:left="109"/>
              <w:jc w:val="left"/>
              <w:rPr>
                <w:sz w:val="18"/>
              </w:rPr>
            </w:pPr>
            <w:r>
              <w:rPr>
                <w:w w:val="105"/>
                <w:sz w:val="18"/>
              </w:rPr>
              <w:t>(n-93)</w:t>
            </w:r>
          </w:p>
        </w:tc>
        <w:tc>
          <w:tcPr>
            <w:tcW w:w="1190" w:type="dxa"/>
          </w:tcPr>
          <w:p>
            <w:pPr>
              <w:pStyle w:val="TableParagraph"/>
              <w:spacing w:line="240" w:lineRule="auto" w:before="0"/>
              <w:jc w:val="left"/>
              <w:rPr>
                <w:rFonts w:ascii="Times New Roman"/>
                <w:sz w:val="14"/>
              </w:rPr>
            </w:pPr>
          </w:p>
        </w:tc>
        <w:tc>
          <w:tcPr>
            <w:tcW w:w="1220" w:type="dxa"/>
          </w:tcPr>
          <w:p>
            <w:pPr>
              <w:pStyle w:val="TableParagraph"/>
              <w:spacing w:line="240" w:lineRule="auto" w:before="0"/>
              <w:jc w:val="left"/>
              <w:rPr>
                <w:rFonts w:ascii="Times New Roman"/>
                <w:sz w:val="14"/>
              </w:rPr>
            </w:pPr>
          </w:p>
        </w:tc>
        <w:tc>
          <w:tcPr>
            <w:tcW w:w="1045" w:type="dxa"/>
          </w:tcPr>
          <w:p>
            <w:pPr>
              <w:pStyle w:val="TableParagraph"/>
              <w:spacing w:line="240" w:lineRule="auto" w:before="0"/>
              <w:jc w:val="left"/>
              <w:rPr>
                <w:rFonts w:ascii="Times New Roman"/>
                <w:sz w:val="14"/>
              </w:rPr>
            </w:pPr>
          </w:p>
        </w:tc>
        <w:tc>
          <w:tcPr>
            <w:tcW w:w="1158" w:type="dxa"/>
          </w:tcPr>
          <w:p>
            <w:pPr>
              <w:pStyle w:val="TableParagraph"/>
              <w:spacing w:line="240" w:lineRule="auto" w:before="0"/>
              <w:jc w:val="left"/>
              <w:rPr>
                <w:rFonts w:ascii="Times New Roman"/>
                <w:sz w:val="14"/>
              </w:rPr>
            </w:pPr>
          </w:p>
        </w:tc>
        <w:tc>
          <w:tcPr>
            <w:tcW w:w="2563" w:type="dxa"/>
          </w:tcPr>
          <w:p>
            <w:pPr>
              <w:pStyle w:val="TableParagraph"/>
              <w:spacing w:line="240" w:lineRule="auto" w:before="0"/>
              <w:jc w:val="left"/>
              <w:rPr>
                <w:rFonts w:ascii="Times New Roman"/>
                <w:sz w:val="14"/>
              </w:rPr>
            </w:pPr>
          </w:p>
        </w:tc>
      </w:tr>
      <w:tr>
        <w:trPr>
          <w:trHeight w:val="219" w:hRule="atLeast"/>
        </w:trPr>
        <w:tc>
          <w:tcPr>
            <w:tcW w:w="1119" w:type="dxa"/>
          </w:tcPr>
          <w:p>
            <w:pPr>
              <w:pStyle w:val="TableParagraph"/>
              <w:spacing w:before="8"/>
              <w:ind w:left="109"/>
              <w:jc w:val="left"/>
              <w:rPr>
                <w:sz w:val="18"/>
              </w:rPr>
            </w:pPr>
            <w:r>
              <w:rPr>
                <w:w w:val="105"/>
                <w:sz w:val="18"/>
              </w:rPr>
              <w:t>21-30</w:t>
            </w:r>
          </w:p>
        </w:tc>
        <w:tc>
          <w:tcPr>
            <w:tcW w:w="1190" w:type="dxa"/>
          </w:tcPr>
          <w:p>
            <w:pPr>
              <w:pStyle w:val="TableParagraph"/>
              <w:spacing w:before="8"/>
              <w:ind w:left="568" w:right="382"/>
              <w:rPr>
                <w:sz w:val="18"/>
              </w:rPr>
            </w:pPr>
            <w:r>
              <w:rPr>
                <w:w w:val="105"/>
                <w:sz w:val="18"/>
              </w:rPr>
              <w:t>11</w:t>
            </w:r>
          </w:p>
        </w:tc>
        <w:tc>
          <w:tcPr>
            <w:tcW w:w="1220" w:type="dxa"/>
          </w:tcPr>
          <w:p>
            <w:pPr>
              <w:pStyle w:val="TableParagraph"/>
              <w:spacing w:before="8"/>
              <w:ind w:left="240" w:right="151"/>
              <w:rPr>
                <w:sz w:val="18"/>
              </w:rPr>
            </w:pPr>
            <w:r>
              <w:rPr>
                <w:w w:val="105"/>
                <w:sz w:val="18"/>
              </w:rPr>
              <w:t>14</w:t>
            </w:r>
          </w:p>
        </w:tc>
        <w:tc>
          <w:tcPr>
            <w:tcW w:w="1045" w:type="dxa"/>
          </w:tcPr>
          <w:p>
            <w:pPr>
              <w:pStyle w:val="TableParagraph"/>
              <w:spacing w:before="8"/>
              <w:ind w:left="104"/>
              <w:rPr>
                <w:sz w:val="18"/>
              </w:rPr>
            </w:pPr>
            <w:r>
              <w:rPr>
                <w:w w:val="103"/>
                <w:sz w:val="18"/>
              </w:rPr>
              <w:t>3</w:t>
            </w:r>
          </w:p>
        </w:tc>
        <w:tc>
          <w:tcPr>
            <w:tcW w:w="1158" w:type="dxa"/>
          </w:tcPr>
          <w:p>
            <w:pPr>
              <w:pStyle w:val="TableParagraph"/>
              <w:spacing w:before="8"/>
              <w:ind w:left="553" w:right="365"/>
              <w:rPr>
                <w:sz w:val="18"/>
              </w:rPr>
            </w:pPr>
            <w:r>
              <w:rPr>
                <w:w w:val="105"/>
                <w:sz w:val="18"/>
              </w:rPr>
              <w:t>15</w:t>
            </w:r>
          </w:p>
        </w:tc>
        <w:tc>
          <w:tcPr>
            <w:tcW w:w="2563" w:type="dxa"/>
          </w:tcPr>
          <w:p>
            <w:pPr>
              <w:pStyle w:val="TableParagraph"/>
              <w:spacing w:before="8"/>
              <w:ind w:left="170"/>
              <w:jc w:val="left"/>
              <w:rPr>
                <w:sz w:val="18"/>
              </w:rPr>
            </w:pPr>
            <w:r>
              <w:rPr>
                <w:w w:val="105"/>
                <w:sz w:val="18"/>
              </w:rPr>
              <w:t>53(40.1)</w:t>
            </w:r>
          </w:p>
        </w:tc>
      </w:tr>
      <w:tr>
        <w:trPr>
          <w:trHeight w:val="218" w:hRule="atLeast"/>
        </w:trPr>
        <w:tc>
          <w:tcPr>
            <w:tcW w:w="1119" w:type="dxa"/>
          </w:tcPr>
          <w:p>
            <w:pPr>
              <w:pStyle w:val="TableParagraph"/>
              <w:ind w:left="109"/>
              <w:jc w:val="left"/>
              <w:rPr>
                <w:sz w:val="18"/>
              </w:rPr>
            </w:pPr>
            <w:r>
              <w:rPr>
                <w:w w:val="105"/>
                <w:sz w:val="18"/>
              </w:rPr>
              <w:t>(n-132)</w:t>
            </w:r>
          </w:p>
        </w:tc>
        <w:tc>
          <w:tcPr>
            <w:tcW w:w="1190" w:type="dxa"/>
          </w:tcPr>
          <w:p>
            <w:pPr>
              <w:pStyle w:val="TableParagraph"/>
              <w:spacing w:line="240" w:lineRule="auto" w:before="0"/>
              <w:jc w:val="left"/>
              <w:rPr>
                <w:rFonts w:ascii="Times New Roman"/>
                <w:sz w:val="14"/>
              </w:rPr>
            </w:pPr>
          </w:p>
        </w:tc>
        <w:tc>
          <w:tcPr>
            <w:tcW w:w="1220" w:type="dxa"/>
          </w:tcPr>
          <w:p>
            <w:pPr>
              <w:pStyle w:val="TableParagraph"/>
              <w:spacing w:line="240" w:lineRule="auto" w:before="0"/>
              <w:jc w:val="left"/>
              <w:rPr>
                <w:rFonts w:ascii="Times New Roman"/>
                <w:sz w:val="14"/>
              </w:rPr>
            </w:pPr>
          </w:p>
        </w:tc>
        <w:tc>
          <w:tcPr>
            <w:tcW w:w="1045" w:type="dxa"/>
          </w:tcPr>
          <w:p>
            <w:pPr>
              <w:pStyle w:val="TableParagraph"/>
              <w:spacing w:line="240" w:lineRule="auto" w:before="0"/>
              <w:jc w:val="left"/>
              <w:rPr>
                <w:rFonts w:ascii="Times New Roman"/>
                <w:sz w:val="14"/>
              </w:rPr>
            </w:pPr>
          </w:p>
        </w:tc>
        <w:tc>
          <w:tcPr>
            <w:tcW w:w="1158" w:type="dxa"/>
          </w:tcPr>
          <w:p>
            <w:pPr>
              <w:pStyle w:val="TableParagraph"/>
              <w:spacing w:line="240" w:lineRule="auto" w:before="0"/>
              <w:jc w:val="left"/>
              <w:rPr>
                <w:rFonts w:ascii="Times New Roman"/>
                <w:sz w:val="14"/>
              </w:rPr>
            </w:pPr>
          </w:p>
        </w:tc>
        <w:tc>
          <w:tcPr>
            <w:tcW w:w="2563" w:type="dxa"/>
          </w:tcPr>
          <w:p>
            <w:pPr>
              <w:pStyle w:val="TableParagraph"/>
              <w:spacing w:line="240" w:lineRule="auto" w:before="0"/>
              <w:jc w:val="left"/>
              <w:rPr>
                <w:rFonts w:ascii="Times New Roman"/>
                <w:sz w:val="14"/>
              </w:rPr>
            </w:pPr>
          </w:p>
        </w:tc>
      </w:tr>
      <w:tr>
        <w:trPr>
          <w:trHeight w:val="217" w:hRule="atLeast"/>
        </w:trPr>
        <w:tc>
          <w:tcPr>
            <w:tcW w:w="1119" w:type="dxa"/>
          </w:tcPr>
          <w:p>
            <w:pPr>
              <w:pStyle w:val="TableParagraph"/>
              <w:spacing w:line="190" w:lineRule="exact"/>
              <w:ind w:left="109"/>
              <w:jc w:val="left"/>
              <w:rPr>
                <w:sz w:val="18"/>
              </w:rPr>
            </w:pPr>
            <w:r>
              <w:rPr>
                <w:w w:val="105"/>
                <w:sz w:val="18"/>
              </w:rPr>
              <w:t>31-40</w:t>
            </w:r>
          </w:p>
        </w:tc>
        <w:tc>
          <w:tcPr>
            <w:tcW w:w="1190" w:type="dxa"/>
          </w:tcPr>
          <w:p>
            <w:pPr>
              <w:pStyle w:val="TableParagraph"/>
              <w:spacing w:line="190" w:lineRule="exact"/>
              <w:ind w:left="186"/>
              <w:rPr>
                <w:sz w:val="18"/>
              </w:rPr>
            </w:pPr>
            <w:r>
              <w:rPr>
                <w:w w:val="103"/>
                <w:sz w:val="18"/>
              </w:rPr>
              <w:t>0</w:t>
            </w:r>
          </w:p>
        </w:tc>
        <w:tc>
          <w:tcPr>
            <w:tcW w:w="1220" w:type="dxa"/>
          </w:tcPr>
          <w:p>
            <w:pPr>
              <w:pStyle w:val="TableParagraph"/>
              <w:spacing w:line="190" w:lineRule="exact"/>
              <w:ind w:left="84"/>
              <w:rPr>
                <w:sz w:val="18"/>
              </w:rPr>
            </w:pPr>
            <w:r>
              <w:rPr>
                <w:w w:val="103"/>
                <w:sz w:val="18"/>
              </w:rPr>
              <w:t>9</w:t>
            </w:r>
          </w:p>
        </w:tc>
        <w:tc>
          <w:tcPr>
            <w:tcW w:w="1045" w:type="dxa"/>
          </w:tcPr>
          <w:p>
            <w:pPr>
              <w:pStyle w:val="TableParagraph"/>
              <w:spacing w:line="190" w:lineRule="exact"/>
              <w:ind w:left="104"/>
              <w:rPr>
                <w:sz w:val="18"/>
              </w:rPr>
            </w:pPr>
            <w:r>
              <w:rPr>
                <w:w w:val="103"/>
                <w:sz w:val="18"/>
              </w:rPr>
              <w:t>0</w:t>
            </w:r>
          </w:p>
        </w:tc>
        <w:tc>
          <w:tcPr>
            <w:tcW w:w="1158" w:type="dxa"/>
          </w:tcPr>
          <w:p>
            <w:pPr>
              <w:pStyle w:val="TableParagraph"/>
              <w:spacing w:line="190" w:lineRule="exact"/>
              <w:ind w:left="186"/>
              <w:rPr>
                <w:sz w:val="18"/>
              </w:rPr>
            </w:pPr>
            <w:r>
              <w:rPr>
                <w:w w:val="103"/>
                <w:sz w:val="18"/>
              </w:rPr>
              <w:t>2</w:t>
            </w:r>
          </w:p>
        </w:tc>
        <w:tc>
          <w:tcPr>
            <w:tcW w:w="2563" w:type="dxa"/>
          </w:tcPr>
          <w:p>
            <w:pPr>
              <w:pStyle w:val="TableParagraph"/>
              <w:spacing w:line="190" w:lineRule="exact"/>
              <w:ind w:left="170"/>
              <w:jc w:val="left"/>
              <w:rPr>
                <w:sz w:val="18"/>
              </w:rPr>
            </w:pPr>
            <w:r>
              <w:rPr>
                <w:w w:val="105"/>
                <w:sz w:val="18"/>
              </w:rPr>
              <w:t>11(10.5)</w:t>
            </w:r>
          </w:p>
        </w:tc>
      </w:tr>
      <w:tr>
        <w:trPr>
          <w:trHeight w:val="217" w:hRule="atLeast"/>
        </w:trPr>
        <w:tc>
          <w:tcPr>
            <w:tcW w:w="1119" w:type="dxa"/>
          </w:tcPr>
          <w:p>
            <w:pPr>
              <w:pStyle w:val="TableParagraph"/>
              <w:spacing w:before="6"/>
              <w:ind w:left="109"/>
              <w:jc w:val="left"/>
              <w:rPr>
                <w:sz w:val="18"/>
              </w:rPr>
            </w:pPr>
            <w:r>
              <w:rPr>
                <w:w w:val="105"/>
                <w:sz w:val="18"/>
              </w:rPr>
              <w:t>(n-105)</w:t>
            </w:r>
          </w:p>
        </w:tc>
        <w:tc>
          <w:tcPr>
            <w:tcW w:w="1190" w:type="dxa"/>
          </w:tcPr>
          <w:p>
            <w:pPr>
              <w:pStyle w:val="TableParagraph"/>
              <w:spacing w:line="240" w:lineRule="auto" w:before="0"/>
              <w:jc w:val="left"/>
              <w:rPr>
                <w:rFonts w:ascii="Times New Roman"/>
                <w:sz w:val="14"/>
              </w:rPr>
            </w:pPr>
          </w:p>
        </w:tc>
        <w:tc>
          <w:tcPr>
            <w:tcW w:w="1220" w:type="dxa"/>
          </w:tcPr>
          <w:p>
            <w:pPr>
              <w:pStyle w:val="TableParagraph"/>
              <w:spacing w:line="240" w:lineRule="auto" w:before="0"/>
              <w:jc w:val="left"/>
              <w:rPr>
                <w:rFonts w:ascii="Times New Roman"/>
                <w:sz w:val="14"/>
              </w:rPr>
            </w:pPr>
          </w:p>
        </w:tc>
        <w:tc>
          <w:tcPr>
            <w:tcW w:w="1045" w:type="dxa"/>
          </w:tcPr>
          <w:p>
            <w:pPr>
              <w:pStyle w:val="TableParagraph"/>
              <w:spacing w:line="240" w:lineRule="auto" w:before="0"/>
              <w:jc w:val="left"/>
              <w:rPr>
                <w:rFonts w:ascii="Times New Roman"/>
                <w:sz w:val="14"/>
              </w:rPr>
            </w:pPr>
          </w:p>
        </w:tc>
        <w:tc>
          <w:tcPr>
            <w:tcW w:w="1158" w:type="dxa"/>
          </w:tcPr>
          <w:p>
            <w:pPr>
              <w:pStyle w:val="TableParagraph"/>
              <w:spacing w:line="240" w:lineRule="auto" w:before="0"/>
              <w:jc w:val="left"/>
              <w:rPr>
                <w:rFonts w:ascii="Times New Roman"/>
                <w:sz w:val="14"/>
              </w:rPr>
            </w:pPr>
          </w:p>
        </w:tc>
        <w:tc>
          <w:tcPr>
            <w:tcW w:w="2563" w:type="dxa"/>
          </w:tcPr>
          <w:p>
            <w:pPr>
              <w:pStyle w:val="TableParagraph"/>
              <w:spacing w:line="240" w:lineRule="auto" w:before="0"/>
              <w:jc w:val="left"/>
              <w:rPr>
                <w:rFonts w:ascii="Times New Roman"/>
                <w:sz w:val="14"/>
              </w:rPr>
            </w:pPr>
          </w:p>
        </w:tc>
      </w:tr>
      <w:tr>
        <w:trPr>
          <w:trHeight w:val="219" w:hRule="atLeast"/>
        </w:trPr>
        <w:tc>
          <w:tcPr>
            <w:tcW w:w="1119" w:type="dxa"/>
          </w:tcPr>
          <w:p>
            <w:pPr>
              <w:pStyle w:val="TableParagraph"/>
              <w:spacing w:line="192" w:lineRule="exact"/>
              <w:ind w:left="109"/>
              <w:jc w:val="left"/>
              <w:rPr>
                <w:sz w:val="18"/>
              </w:rPr>
            </w:pPr>
            <w:r>
              <w:rPr>
                <w:w w:val="105"/>
                <w:sz w:val="18"/>
              </w:rPr>
              <w:t>&gt;40</w:t>
            </w:r>
          </w:p>
        </w:tc>
        <w:tc>
          <w:tcPr>
            <w:tcW w:w="1190" w:type="dxa"/>
          </w:tcPr>
          <w:p>
            <w:pPr>
              <w:pStyle w:val="TableParagraph"/>
              <w:spacing w:line="192" w:lineRule="exact"/>
              <w:ind w:left="186"/>
              <w:rPr>
                <w:sz w:val="18"/>
              </w:rPr>
            </w:pPr>
            <w:r>
              <w:rPr>
                <w:w w:val="103"/>
                <w:sz w:val="18"/>
              </w:rPr>
              <w:t>1</w:t>
            </w:r>
          </w:p>
        </w:tc>
        <w:tc>
          <w:tcPr>
            <w:tcW w:w="1220" w:type="dxa"/>
          </w:tcPr>
          <w:p>
            <w:pPr>
              <w:pStyle w:val="TableParagraph"/>
              <w:spacing w:line="192" w:lineRule="exact"/>
              <w:ind w:left="84"/>
              <w:rPr>
                <w:sz w:val="18"/>
              </w:rPr>
            </w:pPr>
            <w:r>
              <w:rPr>
                <w:w w:val="103"/>
                <w:sz w:val="18"/>
              </w:rPr>
              <w:t>2</w:t>
            </w:r>
          </w:p>
        </w:tc>
        <w:tc>
          <w:tcPr>
            <w:tcW w:w="1045" w:type="dxa"/>
          </w:tcPr>
          <w:p>
            <w:pPr>
              <w:pStyle w:val="TableParagraph"/>
              <w:spacing w:line="192" w:lineRule="exact"/>
              <w:ind w:left="104"/>
              <w:rPr>
                <w:sz w:val="18"/>
              </w:rPr>
            </w:pPr>
            <w:r>
              <w:rPr>
                <w:w w:val="103"/>
                <w:sz w:val="18"/>
              </w:rPr>
              <w:t>0</w:t>
            </w:r>
          </w:p>
        </w:tc>
        <w:tc>
          <w:tcPr>
            <w:tcW w:w="1158" w:type="dxa"/>
          </w:tcPr>
          <w:p>
            <w:pPr>
              <w:pStyle w:val="TableParagraph"/>
              <w:spacing w:line="192" w:lineRule="exact"/>
              <w:ind w:left="186"/>
              <w:rPr>
                <w:sz w:val="18"/>
              </w:rPr>
            </w:pPr>
            <w:r>
              <w:rPr>
                <w:w w:val="103"/>
                <w:sz w:val="18"/>
              </w:rPr>
              <w:t>3</w:t>
            </w:r>
          </w:p>
        </w:tc>
        <w:tc>
          <w:tcPr>
            <w:tcW w:w="2563" w:type="dxa"/>
          </w:tcPr>
          <w:p>
            <w:pPr>
              <w:pStyle w:val="TableParagraph"/>
              <w:spacing w:line="192" w:lineRule="exact"/>
              <w:ind w:left="170"/>
              <w:jc w:val="left"/>
              <w:rPr>
                <w:sz w:val="18"/>
              </w:rPr>
            </w:pPr>
            <w:r>
              <w:rPr>
                <w:w w:val="105"/>
                <w:sz w:val="18"/>
              </w:rPr>
              <w:t>6(5.1)</w:t>
            </w:r>
          </w:p>
        </w:tc>
      </w:tr>
      <w:tr>
        <w:trPr>
          <w:trHeight w:val="219" w:hRule="atLeast"/>
        </w:trPr>
        <w:tc>
          <w:tcPr>
            <w:tcW w:w="1119" w:type="dxa"/>
          </w:tcPr>
          <w:p>
            <w:pPr>
              <w:pStyle w:val="TableParagraph"/>
              <w:spacing w:before="8"/>
              <w:ind w:left="109"/>
              <w:jc w:val="left"/>
              <w:rPr>
                <w:sz w:val="18"/>
              </w:rPr>
            </w:pPr>
            <w:r>
              <w:rPr>
                <w:w w:val="105"/>
                <w:sz w:val="18"/>
              </w:rPr>
              <w:t>(n-117)</w:t>
            </w:r>
          </w:p>
        </w:tc>
        <w:tc>
          <w:tcPr>
            <w:tcW w:w="1190" w:type="dxa"/>
          </w:tcPr>
          <w:p>
            <w:pPr>
              <w:pStyle w:val="TableParagraph"/>
              <w:spacing w:line="240" w:lineRule="auto" w:before="0"/>
              <w:jc w:val="left"/>
              <w:rPr>
                <w:rFonts w:ascii="Times New Roman"/>
                <w:sz w:val="14"/>
              </w:rPr>
            </w:pPr>
          </w:p>
        </w:tc>
        <w:tc>
          <w:tcPr>
            <w:tcW w:w="1220" w:type="dxa"/>
          </w:tcPr>
          <w:p>
            <w:pPr>
              <w:pStyle w:val="TableParagraph"/>
              <w:spacing w:line="240" w:lineRule="auto" w:before="0"/>
              <w:jc w:val="left"/>
              <w:rPr>
                <w:rFonts w:ascii="Times New Roman"/>
                <w:sz w:val="14"/>
              </w:rPr>
            </w:pPr>
          </w:p>
        </w:tc>
        <w:tc>
          <w:tcPr>
            <w:tcW w:w="1045" w:type="dxa"/>
          </w:tcPr>
          <w:p>
            <w:pPr>
              <w:pStyle w:val="TableParagraph"/>
              <w:spacing w:line="240" w:lineRule="auto" w:before="0"/>
              <w:jc w:val="left"/>
              <w:rPr>
                <w:rFonts w:ascii="Times New Roman"/>
                <w:sz w:val="14"/>
              </w:rPr>
            </w:pPr>
          </w:p>
        </w:tc>
        <w:tc>
          <w:tcPr>
            <w:tcW w:w="1158" w:type="dxa"/>
          </w:tcPr>
          <w:p>
            <w:pPr>
              <w:pStyle w:val="TableParagraph"/>
              <w:spacing w:line="240" w:lineRule="auto" w:before="0"/>
              <w:jc w:val="left"/>
              <w:rPr>
                <w:rFonts w:ascii="Times New Roman"/>
                <w:sz w:val="14"/>
              </w:rPr>
            </w:pPr>
          </w:p>
        </w:tc>
        <w:tc>
          <w:tcPr>
            <w:tcW w:w="2563" w:type="dxa"/>
          </w:tcPr>
          <w:p>
            <w:pPr>
              <w:pStyle w:val="TableParagraph"/>
              <w:spacing w:line="240" w:lineRule="auto" w:before="0"/>
              <w:jc w:val="left"/>
              <w:rPr>
                <w:rFonts w:ascii="Times New Roman"/>
                <w:sz w:val="14"/>
              </w:rPr>
            </w:pPr>
          </w:p>
        </w:tc>
      </w:tr>
      <w:tr>
        <w:trPr>
          <w:trHeight w:val="290" w:hRule="atLeast"/>
        </w:trPr>
        <w:tc>
          <w:tcPr>
            <w:tcW w:w="1119" w:type="dxa"/>
            <w:tcBorders>
              <w:bottom w:val="single" w:sz="4" w:space="0" w:color="000000"/>
            </w:tcBorders>
          </w:tcPr>
          <w:p>
            <w:pPr>
              <w:pStyle w:val="TableParagraph"/>
              <w:spacing w:line="240" w:lineRule="auto"/>
              <w:ind w:left="109"/>
              <w:jc w:val="left"/>
              <w:rPr>
                <w:b/>
                <w:sz w:val="18"/>
              </w:rPr>
            </w:pPr>
            <w:r>
              <w:rPr>
                <w:b/>
                <w:w w:val="105"/>
                <w:sz w:val="18"/>
              </w:rPr>
              <w:t>Total (%)</w:t>
            </w:r>
          </w:p>
        </w:tc>
        <w:tc>
          <w:tcPr>
            <w:tcW w:w="1190" w:type="dxa"/>
            <w:tcBorders>
              <w:bottom w:val="single" w:sz="4" w:space="0" w:color="000000"/>
            </w:tcBorders>
          </w:tcPr>
          <w:p>
            <w:pPr>
              <w:pStyle w:val="TableParagraph"/>
              <w:spacing w:line="240" w:lineRule="auto"/>
              <w:ind w:left="238"/>
              <w:jc w:val="left"/>
              <w:rPr>
                <w:b/>
                <w:sz w:val="18"/>
              </w:rPr>
            </w:pPr>
            <w:r>
              <w:rPr>
                <w:b/>
                <w:w w:val="105"/>
                <w:sz w:val="18"/>
              </w:rPr>
              <w:t>15(10)</w:t>
            </w:r>
          </w:p>
        </w:tc>
        <w:tc>
          <w:tcPr>
            <w:tcW w:w="1220" w:type="dxa"/>
            <w:tcBorders>
              <w:bottom w:val="single" w:sz="4" w:space="0" w:color="000000"/>
            </w:tcBorders>
          </w:tcPr>
          <w:p>
            <w:pPr>
              <w:pStyle w:val="TableParagraph"/>
              <w:spacing w:line="240" w:lineRule="auto"/>
              <w:ind w:left="240" w:right="178"/>
              <w:rPr>
                <w:b/>
                <w:sz w:val="18"/>
              </w:rPr>
            </w:pPr>
            <w:r>
              <w:rPr>
                <w:b/>
                <w:w w:val="105"/>
                <w:sz w:val="18"/>
              </w:rPr>
              <w:t>38(35.2)</w:t>
            </w:r>
          </w:p>
        </w:tc>
        <w:tc>
          <w:tcPr>
            <w:tcW w:w="1045" w:type="dxa"/>
            <w:tcBorders>
              <w:bottom w:val="single" w:sz="4" w:space="0" w:color="000000"/>
            </w:tcBorders>
          </w:tcPr>
          <w:p>
            <w:pPr>
              <w:pStyle w:val="TableParagraph"/>
              <w:spacing w:line="240" w:lineRule="auto"/>
              <w:ind w:left="196"/>
              <w:jc w:val="left"/>
              <w:rPr>
                <w:b/>
                <w:sz w:val="18"/>
              </w:rPr>
            </w:pPr>
            <w:r>
              <w:rPr>
                <w:b/>
                <w:w w:val="105"/>
                <w:sz w:val="18"/>
              </w:rPr>
              <w:t>5(3.5)</w:t>
            </w:r>
          </w:p>
        </w:tc>
        <w:tc>
          <w:tcPr>
            <w:tcW w:w="1158" w:type="dxa"/>
            <w:tcBorders>
              <w:bottom w:val="single" w:sz="4" w:space="0" w:color="000000"/>
            </w:tcBorders>
          </w:tcPr>
          <w:p>
            <w:pPr>
              <w:pStyle w:val="TableParagraph"/>
              <w:spacing w:line="240" w:lineRule="auto"/>
              <w:ind w:left="224"/>
              <w:jc w:val="left"/>
              <w:rPr>
                <w:b/>
                <w:sz w:val="18"/>
              </w:rPr>
            </w:pPr>
            <w:r>
              <w:rPr>
                <w:b/>
                <w:w w:val="105"/>
                <w:sz w:val="18"/>
              </w:rPr>
              <w:t>26(32.5)</w:t>
            </w:r>
          </w:p>
        </w:tc>
        <w:tc>
          <w:tcPr>
            <w:tcW w:w="2563" w:type="dxa"/>
            <w:tcBorders>
              <w:bottom w:val="single" w:sz="4" w:space="0" w:color="000000"/>
            </w:tcBorders>
          </w:tcPr>
          <w:p>
            <w:pPr>
              <w:pStyle w:val="TableParagraph"/>
              <w:spacing w:line="240" w:lineRule="auto"/>
              <w:ind w:left="170"/>
              <w:jc w:val="left"/>
              <w:rPr>
                <w:b/>
                <w:sz w:val="18"/>
              </w:rPr>
            </w:pPr>
            <w:r>
              <w:rPr>
                <w:b/>
                <w:w w:val="105"/>
                <w:sz w:val="18"/>
              </w:rPr>
              <w:t>84(17.5)</w:t>
            </w:r>
          </w:p>
        </w:tc>
      </w:tr>
    </w:tbl>
    <w:p>
      <w:pPr>
        <w:pStyle w:val="BodyText"/>
        <w:spacing w:before="5"/>
        <w:rPr>
          <w:b/>
          <w:i/>
        </w:rPr>
      </w:pPr>
    </w:p>
    <w:p>
      <w:pPr>
        <w:spacing w:before="0" w:after="16"/>
        <w:ind w:left="871" w:right="0" w:firstLine="0"/>
        <w:jc w:val="left"/>
        <w:rPr>
          <w:b/>
          <w:sz w:val="18"/>
        </w:rPr>
      </w:pPr>
      <w:r>
        <w:rPr>
          <w:b/>
          <w:w w:val="105"/>
          <w:sz w:val="18"/>
        </w:rPr>
        <w:t>Table 2: Distribution of </w:t>
      </w:r>
      <w:r>
        <w:rPr>
          <w:b/>
          <w:i/>
          <w:w w:val="105"/>
          <w:sz w:val="18"/>
        </w:rPr>
        <w:t>Salmonella </w:t>
      </w:r>
      <w:r>
        <w:rPr>
          <w:b/>
          <w:w w:val="105"/>
          <w:sz w:val="18"/>
        </w:rPr>
        <w:t>ser</w:t>
      </w:r>
      <w:r>
        <w:rPr>
          <w:b/>
          <w:i/>
          <w:w w:val="105"/>
          <w:sz w:val="18"/>
        </w:rPr>
        <w:t>. Typhi </w:t>
      </w:r>
      <w:r>
        <w:rPr>
          <w:b/>
          <w:w w:val="105"/>
          <w:sz w:val="18"/>
        </w:rPr>
        <w:t>Isolates based on gender from study area</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6"/>
        <w:gridCol w:w="1517"/>
        <w:gridCol w:w="820"/>
        <w:gridCol w:w="1412"/>
        <w:gridCol w:w="870"/>
        <w:gridCol w:w="1027"/>
      </w:tblGrid>
      <w:tr>
        <w:trPr>
          <w:trHeight w:val="247" w:hRule="atLeast"/>
        </w:trPr>
        <w:tc>
          <w:tcPr>
            <w:tcW w:w="2616" w:type="dxa"/>
            <w:tcBorders>
              <w:top w:val="single" w:sz="4" w:space="0" w:color="000000"/>
            </w:tcBorders>
          </w:tcPr>
          <w:p>
            <w:pPr>
              <w:pStyle w:val="TableParagraph"/>
              <w:spacing w:line="240" w:lineRule="auto" w:before="0"/>
              <w:jc w:val="left"/>
              <w:rPr>
                <w:rFonts w:ascii="Times New Roman"/>
                <w:sz w:val="18"/>
              </w:rPr>
            </w:pPr>
          </w:p>
        </w:tc>
        <w:tc>
          <w:tcPr>
            <w:tcW w:w="1517" w:type="dxa"/>
            <w:tcBorders>
              <w:top w:val="single" w:sz="4" w:space="0" w:color="000000"/>
            </w:tcBorders>
          </w:tcPr>
          <w:p>
            <w:pPr>
              <w:pStyle w:val="TableParagraph"/>
              <w:spacing w:line="205" w:lineRule="exact" w:before="0"/>
              <w:ind w:left="141"/>
              <w:jc w:val="left"/>
              <w:rPr>
                <w:b/>
                <w:i/>
                <w:sz w:val="18"/>
              </w:rPr>
            </w:pPr>
            <w:r>
              <w:rPr>
                <w:b/>
                <w:i/>
                <w:w w:val="105"/>
                <w:sz w:val="18"/>
              </w:rPr>
              <w:t>Yola</w:t>
            </w:r>
          </w:p>
        </w:tc>
        <w:tc>
          <w:tcPr>
            <w:tcW w:w="820" w:type="dxa"/>
            <w:tcBorders>
              <w:top w:val="single" w:sz="4" w:space="0" w:color="000000"/>
            </w:tcBorders>
          </w:tcPr>
          <w:p>
            <w:pPr>
              <w:pStyle w:val="TableParagraph"/>
              <w:spacing w:line="240" w:lineRule="auto" w:before="0"/>
              <w:jc w:val="left"/>
              <w:rPr>
                <w:rFonts w:ascii="Times New Roman"/>
                <w:sz w:val="18"/>
              </w:rPr>
            </w:pPr>
          </w:p>
        </w:tc>
        <w:tc>
          <w:tcPr>
            <w:tcW w:w="1412" w:type="dxa"/>
            <w:tcBorders>
              <w:top w:val="single" w:sz="4" w:space="0" w:color="000000"/>
            </w:tcBorders>
          </w:tcPr>
          <w:p>
            <w:pPr>
              <w:pStyle w:val="TableParagraph"/>
              <w:spacing w:line="205" w:lineRule="exact" w:before="0"/>
              <w:ind w:left="65"/>
              <w:jc w:val="left"/>
              <w:rPr>
                <w:b/>
                <w:i/>
                <w:sz w:val="18"/>
              </w:rPr>
            </w:pPr>
            <w:r>
              <w:rPr>
                <w:b/>
                <w:i/>
                <w:w w:val="105"/>
                <w:sz w:val="18"/>
              </w:rPr>
              <w:t>Gombi</w:t>
            </w:r>
          </w:p>
        </w:tc>
        <w:tc>
          <w:tcPr>
            <w:tcW w:w="870" w:type="dxa"/>
            <w:tcBorders>
              <w:top w:val="single" w:sz="4" w:space="0" w:color="000000"/>
            </w:tcBorders>
          </w:tcPr>
          <w:p>
            <w:pPr>
              <w:pStyle w:val="TableParagraph"/>
              <w:spacing w:line="205" w:lineRule="exact" w:before="0"/>
              <w:ind w:left="208"/>
              <w:jc w:val="left"/>
              <w:rPr>
                <w:b/>
                <w:i/>
                <w:sz w:val="18"/>
              </w:rPr>
            </w:pPr>
            <w:r>
              <w:rPr>
                <w:b/>
                <w:i/>
                <w:w w:val="105"/>
                <w:sz w:val="18"/>
              </w:rPr>
              <w:t>Total</w:t>
            </w:r>
          </w:p>
        </w:tc>
        <w:tc>
          <w:tcPr>
            <w:tcW w:w="1027" w:type="dxa"/>
            <w:tcBorders>
              <w:top w:val="single" w:sz="4" w:space="0" w:color="000000"/>
            </w:tcBorders>
          </w:tcPr>
          <w:p>
            <w:pPr>
              <w:pStyle w:val="TableParagraph"/>
              <w:spacing w:line="240" w:lineRule="auto" w:before="0"/>
              <w:jc w:val="left"/>
              <w:rPr>
                <w:rFonts w:ascii="Times New Roman"/>
                <w:sz w:val="18"/>
              </w:rPr>
            </w:pPr>
          </w:p>
        </w:tc>
      </w:tr>
      <w:tr>
        <w:trPr>
          <w:trHeight w:val="257" w:hRule="atLeast"/>
        </w:trPr>
        <w:tc>
          <w:tcPr>
            <w:tcW w:w="2616" w:type="dxa"/>
          </w:tcPr>
          <w:p>
            <w:pPr>
              <w:pStyle w:val="TableParagraph"/>
              <w:spacing w:before="47"/>
              <w:ind w:right="140"/>
              <w:jc w:val="right"/>
              <w:rPr>
                <w:b/>
                <w:sz w:val="18"/>
              </w:rPr>
            </w:pPr>
            <w:r>
              <w:rPr>
                <w:b/>
                <w:sz w:val="18"/>
              </w:rPr>
              <w:t>Male</w:t>
            </w:r>
          </w:p>
        </w:tc>
        <w:tc>
          <w:tcPr>
            <w:tcW w:w="1517" w:type="dxa"/>
          </w:tcPr>
          <w:p>
            <w:pPr>
              <w:pStyle w:val="TableParagraph"/>
              <w:spacing w:before="47"/>
              <w:ind w:left="525"/>
              <w:jc w:val="left"/>
              <w:rPr>
                <w:b/>
                <w:sz w:val="18"/>
              </w:rPr>
            </w:pPr>
            <w:r>
              <w:rPr>
                <w:b/>
                <w:w w:val="105"/>
                <w:sz w:val="18"/>
              </w:rPr>
              <w:t>Female</w:t>
            </w:r>
          </w:p>
        </w:tc>
        <w:tc>
          <w:tcPr>
            <w:tcW w:w="820" w:type="dxa"/>
          </w:tcPr>
          <w:p>
            <w:pPr>
              <w:pStyle w:val="TableParagraph"/>
              <w:spacing w:before="47"/>
              <w:ind w:left="350"/>
              <w:jc w:val="left"/>
              <w:rPr>
                <w:b/>
                <w:sz w:val="18"/>
              </w:rPr>
            </w:pPr>
            <w:r>
              <w:rPr>
                <w:b/>
                <w:w w:val="105"/>
                <w:sz w:val="18"/>
              </w:rPr>
              <w:t>Male</w:t>
            </w:r>
          </w:p>
        </w:tc>
        <w:tc>
          <w:tcPr>
            <w:tcW w:w="1412" w:type="dxa"/>
          </w:tcPr>
          <w:p>
            <w:pPr>
              <w:pStyle w:val="TableParagraph"/>
              <w:spacing w:before="47"/>
              <w:ind w:left="557"/>
              <w:jc w:val="left"/>
              <w:rPr>
                <w:b/>
                <w:sz w:val="18"/>
              </w:rPr>
            </w:pPr>
            <w:r>
              <w:rPr>
                <w:b/>
                <w:w w:val="105"/>
                <w:sz w:val="18"/>
              </w:rPr>
              <w:t>Female</w:t>
            </w:r>
          </w:p>
        </w:tc>
        <w:tc>
          <w:tcPr>
            <w:tcW w:w="870" w:type="dxa"/>
          </w:tcPr>
          <w:p>
            <w:pPr>
              <w:pStyle w:val="TableParagraph"/>
              <w:spacing w:line="240" w:lineRule="auto" w:before="0"/>
              <w:jc w:val="left"/>
              <w:rPr>
                <w:rFonts w:ascii="Times New Roman"/>
                <w:sz w:val="18"/>
              </w:rPr>
            </w:pPr>
          </w:p>
        </w:tc>
        <w:tc>
          <w:tcPr>
            <w:tcW w:w="1027" w:type="dxa"/>
          </w:tcPr>
          <w:p>
            <w:pPr>
              <w:pStyle w:val="TableParagraph"/>
              <w:spacing w:before="47"/>
              <w:ind w:left="168"/>
              <w:jc w:val="left"/>
              <w:rPr>
                <w:b/>
                <w:sz w:val="18"/>
              </w:rPr>
            </w:pPr>
            <w:r>
              <w:rPr>
                <w:b/>
                <w:w w:val="105"/>
                <w:sz w:val="18"/>
              </w:rPr>
              <w:t>P value</w:t>
            </w:r>
          </w:p>
        </w:tc>
      </w:tr>
    </w:tbl>
    <w:p>
      <w:pPr>
        <w:pStyle w:val="BodyText"/>
        <w:spacing w:before="6"/>
        <w:rPr>
          <w:b/>
          <w:sz w:val="19"/>
        </w:rPr>
      </w:pPr>
    </w:p>
    <w:p>
      <w:pPr>
        <w:pStyle w:val="BodyText"/>
        <w:spacing w:line="20" w:lineRule="exact"/>
        <w:ind w:left="979"/>
        <w:rPr>
          <w:sz w:val="2"/>
        </w:rPr>
      </w:pPr>
      <w:r>
        <w:rPr>
          <w:sz w:val="2"/>
        </w:rPr>
        <w:pict>
          <v:group style="width:412.95pt;height:.5pt;mso-position-horizontal-relative:char;mso-position-vertical-relative:line" coordorigin="0,0" coordsize="8259,10">
            <v:line style="position:absolute" from="0,5" to="1771,5" stroked="true" strokeweight=".48pt" strokecolor="#000000">
              <v:stroke dashstyle="solid"/>
            </v:line>
            <v:rect style="position:absolute;left:1771;top:0;width:10;height:10" filled="true" fillcolor="#000000" stroked="false">
              <v:fill type="solid"/>
            </v:rect>
            <v:line style="position:absolute" from="1781,5" to="2774,5" stroked="true" strokeweight=".48pt" strokecolor="#000000">
              <v:stroke dashstyle="solid"/>
            </v:line>
            <v:rect style="position:absolute;left:2774;top:0;width:10;height:10" filled="true" fillcolor="#000000" stroked="false">
              <v:fill type="solid"/>
            </v:rect>
            <v:line style="position:absolute" from="2784,5" to="4152,5" stroked="true" strokeweight=".48pt" strokecolor="#000000">
              <v:stroke dashstyle="solid"/>
            </v:line>
            <v:rect style="position:absolute;left:4152;top:0;width:8;height:10" filled="true" fillcolor="#000000" stroked="false">
              <v:fill type="solid"/>
            </v:rect>
            <v:line style="position:absolute" from="4159,5" to="5218,5" stroked="true" strokeweight=".48pt" strokecolor="#000000">
              <v:stroke dashstyle="solid"/>
            </v:line>
            <v:rect style="position:absolute;left:5217;top:0;width:10;height:10" filled="true" fillcolor="#000000" stroked="false">
              <v:fill type="solid"/>
            </v:rect>
            <v:line style="position:absolute" from="5227,5" to="6449,5" stroked="true" strokeweight=".48pt" strokecolor="#000000">
              <v:stroke dashstyle="solid"/>
            </v:line>
            <v:rect style="position:absolute;left:6448;top:0;width:8;height:10" filled="true" fillcolor="#000000" stroked="false">
              <v:fill type="solid"/>
            </v:rect>
            <v:line style="position:absolute" from="6456,5" to="7193,5" stroked="true" strokeweight=".48pt" strokecolor="#000000">
              <v:stroke dashstyle="solid"/>
            </v:line>
            <v:rect style="position:absolute;left:7192;top:0;width:10;height:10" filled="true" fillcolor="#000000" stroked="false">
              <v:fill type="solid"/>
            </v:rect>
            <v:line style="position:absolute" from="7202,5" to="8258,5" stroked="true" strokeweight=".48pt" strokecolor="#000000">
              <v:stroke dashstyle="solid"/>
            </v:line>
          </v:group>
        </w:pict>
      </w:r>
      <w:r>
        <w:rPr>
          <w:sz w:val="2"/>
        </w:rPr>
      </w:r>
    </w:p>
    <w:p>
      <w:pPr>
        <w:spacing w:after="0" w:line="20" w:lineRule="exact"/>
        <w:rPr>
          <w:sz w:val="2"/>
        </w:rPr>
        <w:sectPr>
          <w:type w:val="continuous"/>
          <w:pgSz w:w="12240" w:h="15840"/>
          <w:pgMar w:top="1160" w:bottom="280" w:left="1000" w:right="1020"/>
        </w:sectPr>
      </w:pPr>
    </w:p>
    <w:p>
      <w:pPr>
        <w:spacing w:line="195" w:lineRule="exact" w:before="0"/>
        <w:ind w:left="1085" w:right="0" w:firstLine="0"/>
        <w:jc w:val="left"/>
        <w:rPr>
          <w:sz w:val="18"/>
        </w:rPr>
      </w:pPr>
      <w:r>
        <w:rPr>
          <w:i/>
          <w:w w:val="105"/>
          <w:sz w:val="18"/>
        </w:rPr>
        <w:t>S. </w:t>
      </w:r>
      <w:r>
        <w:rPr>
          <w:w w:val="105"/>
          <w:sz w:val="18"/>
        </w:rPr>
        <w:t>Ser </w:t>
      </w:r>
      <w:r>
        <w:rPr>
          <w:spacing w:val="-4"/>
          <w:w w:val="105"/>
          <w:sz w:val="18"/>
        </w:rPr>
        <w:t>Typhi</w:t>
      </w:r>
    </w:p>
    <w:p>
      <w:pPr>
        <w:pStyle w:val="BodyText"/>
        <w:spacing w:before="11"/>
        <w:ind w:left="1085"/>
      </w:pPr>
      <w:r>
        <w:rPr>
          <w:w w:val="105"/>
        </w:rPr>
        <w:t>Present</w:t>
      </w:r>
    </w:p>
    <w:p>
      <w:pPr>
        <w:pStyle w:val="BodyText"/>
        <w:spacing w:line="249" w:lineRule="auto" w:before="10"/>
        <w:ind w:left="1085" w:right="-6"/>
      </w:pPr>
      <w:r>
        <w:rPr>
          <w:i/>
          <w:w w:val="105"/>
        </w:rPr>
        <w:t>S </w:t>
      </w:r>
      <w:r>
        <w:rPr>
          <w:w w:val="105"/>
        </w:rPr>
        <w:t>Ser. </w:t>
      </w:r>
      <w:r>
        <w:rPr>
          <w:spacing w:val="-4"/>
          <w:w w:val="105"/>
        </w:rPr>
        <w:t>Typhi </w:t>
      </w:r>
      <w:r>
        <w:rPr>
          <w:w w:val="105"/>
        </w:rPr>
        <w:t>Absent</w:t>
      </w:r>
    </w:p>
    <w:p>
      <w:pPr>
        <w:pStyle w:val="BodyText"/>
        <w:tabs>
          <w:tab w:pos="1992" w:val="left" w:leader="none"/>
          <w:tab w:pos="3163" w:val="left" w:leader="none"/>
          <w:tab w:pos="4313" w:val="left" w:leader="none"/>
          <w:tab w:pos="5407" w:val="left" w:leader="none"/>
          <w:tab w:pos="6151" w:val="left" w:leader="none"/>
        </w:tabs>
        <w:spacing w:line="195" w:lineRule="exact"/>
        <w:ind w:left="753"/>
      </w:pPr>
      <w:r>
        <w:rPr/>
        <w:br w:type="column"/>
      </w:r>
      <w:r>
        <w:rPr>
          <w:w w:val="105"/>
        </w:rPr>
        <w:t>32</w:t>
      </w:r>
      <w:r>
        <w:rPr>
          <w:spacing w:val="-5"/>
          <w:w w:val="105"/>
        </w:rPr>
        <w:t> </w:t>
      </w:r>
      <w:r>
        <w:rPr>
          <w:w w:val="105"/>
        </w:rPr>
        <w:t>(24.6)</w:t>
      </w:r>
      <w:r>
        <w:rPr>
          <w:rFonts w:ascii="Times New Roman"/>
          <w:w w:val="105"/>
        </w:rPr>
        <w:tab/>
      </w:r>
      <w:r>
        <w:rPr>
          <w:w w:val="105"/>
        </w:rPr>
        <w:t>21</w:t>
      </w:r>
      <w:r>
        <w:rPr>
          <w:spacing w:val="-3"/>
          <w:w w:val="105"/>
        </w:rPr>
        <w:t> </w:t>
      </w:r>
      <w:r>
        <w:rPr>
          <w:w w:val="105"/>
        </w:rPr>
        <w:t>(6.7)</w:t>
      </w:r>
      <w:r>
        <w:rPr>
          <w:rFonts w:ascii="Times New Roman"/>
          <w:w w:val="105"/>
        </w:rPr>
        <w:tab/>
      </w:r>
      <w:r>
        <w:rPr>
          <w:w w:val="105"/>
        </w:rPr>
        <w:t>16</w:t>
      </w:r>
      <w:r>
        <w:rPr>
          <w:spacing w:val="-4"/>
          <w:w w:val="105"/>
        </w:rPr>
        <w:t> </w:t>
      </w:r>
      <w:r>
        <w:rPr>
          <w:w w:val="105"/>
        </w:rPr>
        <w:t>(15.4)</w:t>
      </w:r>
      <w:r>
        <w:rPr>
          <w:rFonts w:ascii="Times New Roman"/>
          <w:w w:val="105"/>
        </w:rPr>
        <w:tab/>
      </w:r>
      <w:r>
        <w:rPr>
          <w:w w:val="105"/>
        </w:rPr>
        <w:t>15</w:t>
      </w:r>
      <w:r>
        <w:rPr>
          <w:spacing w:val="-4"/>
          <w:w w:val="105"/>
        </w:rPr>
        <w:t> </w:t>
      </w:r>
      <w:r>
        <w:rPr>
          <w:w w:val="105"/>
        </w:rPr>
        <w:t>(12.6)</w:t>
      </w:r>
      <w:r>
        <w:rPr>
          <w:rFonts w:ascii="Times New Roman"/>
          <w:w w:val="105"/>
        </w:rPr>
        <w:tab/>
      </w:r>
      <w:r>
        <w:rPr>
          <w:b/>
          <w:w w:val="105"/>
        </w:rPr>
        <w:t>84</w:t>
      </w:r>
      <w:r>
        <w:rPr>
          <w:rFonts w:ascii="Times New Roman"/>
          <w:w w:val="105"/>
        </w:rPr>
        <w:tab/>
      </w:r>
      <w:r>
        <w:rPr>
          <w:w w:val="105"/>
        </w:rPr>
        <w:t>0.7050</w:t>
      </w:r>
    </w:p>
    <w:p>
      <w:pPr>
        <w:pStyle w:val="BodyText"/>
        <w:spacing w:before="9"/>
        <w:rPr>
          <w:sz w:val="19"/>
        </w:rPr>
      </w:pPr>
    </w:p>
    <w:p>
      <w:pPr>
        <w:pStyle w:val="BodyText"/>
        <w:tabs>
          <w:tab w:pos="1137" w:val="left" w:leader="none"/>
          <w:tab w:pos="2409" w:val="left" w:leader="none"/>
          <w:tab w:pos="3508" w:val="left" w:leader="none"/>
          <w:tab w:pos="4653" w:val="left" w:leader="none"/>
        </w:tabs>
        <w:ind w:right="2353"/>
        <w:jc w:val="right"/>
        <w:rPr>
          <w:b/>
        </w:rPr>
      </w:pPr>
      <w:r>
        <w:rPr>
          <w:w w:val="105"/>
        </w:rPr>
        <w:t>98</w:t>
      </w:r>
      <w:r>
        <w:rPr>
          <w:spacing w:val="-5"/>
          <w:w w:val="105"/>
        </w:rPr>
        <w:t> </w:t>
      </w:r>
      <w:r>
        <w:rPr>
          <w:w w:val="105"/>
        </w:rPr>
        <w:t>(75.4)</w:t>
      </w:r>
      <w:r>
        <w:rPr>
          <w:rFonts w:ascii="Times New Roman"/>
          <w:w w:val="105"/>
        </w:rPr>
        <w:tab/>
      </w:r>
      <w:r>
        <w:rPr>
          <w:w w:val="105"/>
        </w:rPr>
        <w:t>105</w:t>
      </w:r>
      <w:r>
        <w:rPr>
          <w:spacing w:val="-4"/>
          <w:w w:val="105"/>
        </w:rPr>
        <w:t> </w:t>
      </w:r>
      <w:r>
        <w:rPr>
          <w:w w:val="105"/>
        </w:rPr>
        <w:t>(83.3)</w:t>
      </w:r>
      <w:r>
        <w:rPr>
          <w:rFonts w:ascii="Times New Roman"/>
          <w:w w:val="105"/>
        </w:rPr>
        <w:tab/>
      </w:r>
      <w:r>
        <w:rPr>
          <w:w w:val="105"/>
        </w:rPr>
        <w:t>88</w:t>
      </w:r>
      <w:r>
        <w:rPr>
          <w:spacing w:val="-4"/>
          <w:w w:val="105"/>
        </w:rPr>
        <w:t> </w:t>
      </w:r>
      <w:r>
        <w:rPr>
          <w:w w:val="105"/>
        </w:rPr>
        <w:t>(84.6)</w:t>
      </w:r>
      <w:r>
        <w:rPr>
          <w:rFonts w:ascii="Times New Roman"/>
          <w:w w:val="105"/>
        </w:rPr>
        <w:tab/>
      </w:r>
      <w:r>
        <w:rPr>
          <w:w w:val="105"/>
        </w:rPr>
        <w:t>104</w:t>
      </w:r>
      <w:r>
        <w:rPr>
          <w:spacing w:val="-5"/>
          <w:w w:val="105"/>
        </w:rPr>
        <w:t> </w:t>
      </w:r>
      <w:r>
        <w:rPr>
          <w:w w:val="105"/>
        </w:rPr>
        <w:t>(87.4)</w:t>
      </w:r>
      <w:r>
        <w:rPr>
          <w:rFonts w:ascii="Times New Roman"/>
          <w:w w:val="105"/>
        </w:rPr>
        <w:tab/>
      </w:r>
      <w:r>
        <w:rPr>
          <w:b/>
        </w:rPr>
        <w:t>395</w:t>
      </w:r>
    </w:p>
    <w:p>
      <w:pPr>
        <w:pStyle w:val="BodyText"/>
        <w:spacing w:before="5"/>
        <w:rPr>
          <w:b/>
          <w:sz w:val="19"/>
        </w:rPr>
      </w:pPr>
    </w:p>
    <w:p>
      <w:pPr>
        <w:tabs>
          <w:tab w:pos="1190" w:val="left" w:leader="none"/>
          <w:tab w:pos="2411" w:val="left" w:leader="none"/>
          <w:tab w:pos="3559" w:val="left" w:leader="none"/>
          <w:tab w:pos="4442" w:val="left" w:leader="none"/>
        </w:tabs>
        <w:spacing w:before="0"/>
        <w:ind w:left="0" w:right="2353" w:firstLine="0"/>
        <w:jc w:val="right"/>
        <w:rPr>
          <w:b/>
          <w:sz w:val="18"/>
        </w:rPr>
      </w:pPr>
      <w:r>
        <w:rPr>
          <w:b/>
          <w:w w:val="105"/>
          <w:sz w:val="18"/>
        </w:rPr>
        <w:t>130</w:t>
      </w:r>
      <w:r>
        <w:rPr>
          <w:rFonts w:ascii="Times New Roman"/>
          <w:w w:val="105"/>
          <w:sz w:val="18"/>
        </w:rPr>
        <w:tab/>
      </w:r>
      <w:r>
        <w:rPr>
          <w:b/>
          <w:w w:val="105"/>
          <w:sz w:val="18"/>
        </w:rPr>
        <w:t>126</w:t>
      </w:r>
      <w:r>
        <w:rPr>
          <w:rFonts w:ascii="Times New Roman"/>
          <w:w w:val="105"/>
          <w:sz w:val="18"/>
        </w:rPr>
        <w:tab/>
      </w:r>
      <w:r>
        <w:rPr>
          <w:b/>
          <w:w w:val="105"/>
          <w:sz w:val="18"/>
        </w:rPr>
        <w:t>104</w:t>
      </w:r>
      <w:r>
        <w:rPr>
          <w:rFonts w:ascii="Times New Roman"/>
          <w:w w:val="105"/>
          <w:sz w:val="18"/>
        </w:rPr>
        <w:tab/>
      </w:r>
      <w:r>
        <w:rPr>
          <w:b/>
          <w:w w:val="105"/>
          <w:sz w:val="18"/>
        </w:rPr>
        <w:t>119</w:t>
      </w:r>
      <w:r>
        <w:rPr>
          <w:rFonts w:ascii="Times New Roman"/>
          <w:w w:val="105"/>
          <w:sz w:val="18"/>
        </w:rPr>
        <w:tab/>
      </w:r>
      <w:r>
        <w:rPr>
          <w:b/>
          <w:sz w:val="18"/>
        </w:rPr>
        <w:t>479</w:t>
      </w:r>
    </w:p>
    <w:p>
      <w:pPr>
        <w:spacing w:after="0"/>
        <w:jc w:val="right"/>
        <w:rPr>
          <w:sz w:val="18"/>
        </w:rPr>
        <w:sectPr>
          <w:type w:val="continuous"/>
          <w:pgSz w:w="12240" w:h="15840"/>
          <w:pgMar w:top="1160" w:bottom="280" w:left="1000" w:right="1020"/>
          <w:cols w:num="2" w:equalWidth="0">
            <w:col w:w="2087" w:space="40"/>
            <w:col w:w="8093"/>
          </w:cols>
        </w:sectPr>
      </w:pPr>
    </w:p>
    <w:p>
      <w:pPr>
        <w:pStyle w:val="BodyText"/>
        <w:spacing w:before="8"/>
        <w:rPr>
          <w:b/>
          <w:sz w:val="6"/>
        </w:rPr>
      </w:pPr>
    </w:p>
    <w:p>
      <w:pPr>
        <w:pStyle w:val="BodyText"/>
        <w:spacing w:line="20" w:lineRule="exact"/>
        <w:ind w:left="965"/>
        <w:rPr>
          <w:sz w:val="2"/>
        </w:rPr>
      </w:pPr>
      <w:r>
        <w:rPr>
          <w:sz w:val="2"/>
        </w:rPr>
        <w:pict>
          <v:group style="width:413.65pt;height:.5pt;mso-position-horizontal-relative:char;mso-position-vertical-relative:line" coordorigin="0,0" coordsize="8273,10">
            <v:line style="position:absolute" from="0,5" to="1786,5" stroked="true" strokeweight=".48pt" strokecolor="#000000">
              <v:stroke dashstyle="solid"/>
            </v:line>
            <v:rect style="position:absolute;left:1771;top:0;width:10;height:10" filled="true" fillcolor="#000000" stroked="false">
              <v:fill type="solid"/>
            </v:rect>
            <v:line style="position:absolute" from="1781,5" to="2789,5" stroked="true" strokeweight=".48pt" strokecolor="#000000">
              <v:stroke dashstyle="solid"/>
            </v:line>
            <v:rect style="position:absolute;left:2776;top:0;width:8;height:10" filled="true" fillcolor="#000000" stroked="false">
              <v:fill type="solid"/>
            </v:rect>
            <v:line style="position:absolute" from="2784,5" to="4166,5" stroked="true" strokeweight=".48pt" strokecolor="#000000">
              <v:stroke dashstyle="solid"/>
            </v:line>
            <v:rect style="position:absolute;left:4152;top:0;width:10;height:10" filled="true" fillcolor="#000000" stroked="false">
              <v:fill type="solid"/>
            </v:rect>
            <v:line style="position:absolute" from="4162,5" to="5232,5" stroked="true" strokeweight=".48pt" strokecolor="#000000">
              <v:stroke dashstyle="solid"/>
            </v:line>
            <v:rect style="position:absolute;left:5220;top:0;width:8;height:10" filled="true" fillcolor="#000000" stroked="false">
              <v:fill type="solid"/>
            </v:rect>
            <v:line style="position:absolute" from="5227,5" to="6463,5" stroked="true" strokeweight=".48pt" strokecolor="#000000">
              <v:stroke dashstyle="solid"/>
            </v:line>
            <v:rect style="position:absolute;left:6448;top:0;width:10;height:10" filled="true" fillcolor="#000000" stroked="false">
              <v:fill type="solid"/>
            </v:rect>
            <v:line style="position:absolute" from="6458,5" to="7207,5" stroked="true" strokeweight=".48pt" strokecolor="#000000">
              <v:stroke dashstyle="solid"/>
            </v:line>
            <v:rect style="position:absolute;left:7192;top:0;width:10;height:10" filled="true" fillcolor="#000000" stroked="false">
              <v:fill type="solid"/>
            </v:rect>
            <v:line style="position:absolute" from="7202,5" to="8273,5" stroked="true" strokeweight=".48pt" strokecolor="#000000">
              <v:stroke dashstyle="solid"/>
            </v:line>
          </v:group>
        </w:pict>
      </w:r>
      <w:r>
        <w:rPr>
          <w:sz w:val="2"/>
        </w:rPr>
      </w:r>
    </w:p>
    <w:p>
      <w:pPr>
        <w:pStyle w:val="BodyText"/>
        <w:rPr>
          <w:b/>
          <w:sz w:val="17"/>
        </w:rPr>
      </w:pPr>
    </w:p>
    <w:p>
      <w:pPr>
        <w:pStyle w:val="Heading1"/>
        <w:spacing w:before="65"/>
        <w:ind w:left="1190" w:right="1147"/>
        <w:jc w:val="center"/>
        <w:rPr>
          <w:rFonts w:ascii="Calibri"/>
        </w:rPr>
      </w:pPr>
      <w:r>
        <w:rPr>
          <w:rFonts w:ascii="Calibri"/>
          <w:w w:val="105"/>
        </w:rPr>
        <w:t>50</w:t>
      </w:r>
    </w:p>
    <w:p>
      <w:pPr>
        <w:spacing w:after="0"/>
        <w:jc w:val="center"/>
        <w:rPr>
          <w:rFonts w:ascii="Calibri"/>
        </w:rPr>
        <w:sectPr>
          <w:type w:val="continuous"/>
          <w:pgSz w:w="12240" w:h="15840"/>
          <w:pgMar w:top="1160" w:bottom="280" w:left="1000" w:right="1020"/>
        </w:sectPr>
      </w:pPr>
    </w:p>
    <w:p>
      <w:pPr>
        <w:pStyle w:val="BodyText"/>
        <w:spacing w:before="1"/>
        <w:rPr>
          <w:rFonts w:ascii="Calibri"/>
          <w:sz w:val="9"/>
        </w:rPr>
      </w:pPr>
    </w:p>
    <w:p>
      <w:pPr>
        <w:pStyle w:val="Heading2"/>
        <w:spacing w:before="107" w:after="8"/>
        <w:jc w:val="left"/>
      </w:pPr>
      <w:r>
        <w:rPr>
          <w:w w:val="105"/>
        </w:rPr>
        <w:t>Table 3: Antibiogram and Susceptibility index of </w:t>
      </w:r>
      <w:r>
        <w:rPr>
          <w:i/>
          <w:w w:val="105"/>
        </w:rPr>
        <w:t>S. </w:t>
      </w:r>
      <w:r>
        <w:rPr>
          <w:w w:val="105"/>
        </w:rPr>
        <w:t>ser. Typhi from study area (%)</w:t>
      </w:r>
    </w:p>
    <w:p>
      <w:pPr>
        <w:pStyle w:val="BodyText"/>
        <w:spacing w:line="20" w:lineRule="exact"/>
        <w:ind w:left="113"/>
        <w:rPr>
          <w:sz w:val="2"/>
        </w:rPr>
      </w:pPr>
      <w:r>
        <w:rPr>
          <w:sz w:val="2"/>
        </w:rPr>
        <w:pict>
          <v:group style="width:499.6pt;height:.5pt;mso-position-horizontal-relative:char;mso-position-vertical-relative:line" coordorigin="0,0" coordsize="9992,10">
            <v:line style="position:absolute" from="0,5" to="1738,5" stroked="true" strokeweight=".48pt" strokecolor="#000000">
              <v:stroke dashstyle="solid"/>
            </v:line>
            <v:rect style="position:absolute;left:1737;top:0;width:10;height:10" filled="true" fillcolor="#000000" stroked="false">
              <v:fill type="solid"/>
            </v:rect>
            <v:line style="position:absolute" from="1747,5" to="4106,5" stroked="true" strokeweight=".48pt" strokecolor="#000000">
              <v:stroke dashstyle="solid"/>
            </v:line>
            <v:rect style="position:absolute;left:4106;top:0;width:10;height:10" filled="true" fillcolor="#000000" stroked="false">
              <v:fill type="solid"/>
            </v:rect>
            <v:line style="position:absolute" from="4116,5" to="6547,5" stroked="true" strokeweight=".48pt" strokecolor="#000000">
              <v:stroke dashstyle="solid"/>
            </v:line>
            <v:rect style="position:absolute;left:6547;top:0;width:10;height:10" filled="true" fillcolor="#000000" stroked="false">
              <v:fill type="solid"/>
            </v:rect>
            <v:line style="position:absolute" from="6557,5" to="9187,5" stroked="true" strokeweight=".48pt" strokecolor="#000000">
              <v:stroke dashstyle="solid"/>
            </v:line>
            <v:rect style="position:absolute;left:9187;top:0;width:10;height:10" filled="true" fillcolor="#000000" stroked="false">
              <v:fill type="solid"/>
            </v:rect>
            <v:line style="position:absolute" from="9197,5" to="9991,5" stroked="true" strokeweight=".48pt" strokecolor="#000000">
              <v:stroke dashstyle="solid"/>
            </v:line>
          </v:group>
        </w:pict>
      </w:r>
      <w:r>
        <w:rPr>
          <w:sz w:val="2"/>
        </w:rPr>
      </w:r>
    </w:p>
    <w:p>
      <w:pPr>
        <w:tabs>
          <w:tab w:pos="5211" w:val="left" w:leader="none"/>
          <w:tab w:pos="6766" w:val="left" w:leader="none"/>
          <w:tab w:pos="9631" w:val="left" w:leader="none"/>
        </w:tabs>
        <w:spacing w:before="0" w:after="3"/>
        <w:ind w:left="2731" w:right="0" w:firstLine="0"/>
        <w:jc w:val="left"/>
        <w:rPr>
          <w:b/>
          <w:sz w:val="18"/>
        </w:rPr>
      </w:pPr>
      <w:r>
        <w:rPr>
          <w:b/>
          <w:w w:val="105"/>
          <w:sz w:val="18"/>
        </w:rPr>
        <w:t>GOMBE</w:t>
      </w:r>
      <w:r>
        <w:rPr>
          <w:rFonts w:ascii="Times New Roman"/>
          <w:w w:val="105"/>
          <w:sz w:val="18"/>
        </w:rPr>
        <w:tab/>
      </w:r>
      <w:r>
        <w:rPr>
          <w:b/>
          <w:w w:val="105"/>
          <w:sz w:val="18"/>
        </w:rPr>
        <w:t>YOLA</w:t>
      </w:r>
      <w:r>
        <w:rPr>
          <w:rFonts w:ascii="Times New Roman"/>
          <w:w w:val="105"/>
          <w:sz w:val="18"/>
        </w:rPr>
        <w:tab/>
      </w:r>
      <w:r>
        <w:rPr>
          <w:b/>
          <w:w w:val="105"/>
          <w:sz w:val="18"/>
        </w:rPr>
        <w:t>Total (for the</w:t>
      </w:r>
      <w:r>
        <w:rPr>
          <w:b/>
          <w:spacing w:val="-15"/>
          <w:w w:val="105"/>
          <w:sz w:val="18"/>
        </w:rPr>
        <w:t> </w:t>
      </w:r>
      <w:r>
        <w:rPr>
          <w:b/>
          <w:w w:val="105"/>
          <w:sz w:val="18"/>
        </w:rPr>
        <w:t>two</w:t>
      </w:r>
      <w:r>
        <w:rPr>
          <w:b/>
          <w:spacing w:val="-3"/>
          <w:w w:val="105"/>
          <w:sz w:val="18"/>
        </w:rPr>
        <w:t> </w:t>
      </w:r>
      <w:r>
        <w:rPr>
          <w:b/>
          <w:w w:val="105"/>
          <w:sz w:val="18"/>
        </w:rPr>
        <w:t>areas)</w:t>
      </w:r>
      <w:r>
        <w:rPr>
          <w:rFonts w:ascii="Times New Roman"/>
          <w:w w:val="105"/>
          <w:sz w:val="18"/>
        </w:rPr>
        <w:tab/>
      </w:r>
      <w:r>
        <w:rPr>
          <w:b/>
          <w:w w:val="105"/>
          <w:sz w:val="18"/>
        </w:rPr>
        <w:t>SI</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1"/>
        <w:gridCol w:w="836"/>
        <w:gridCol w:w="790"/>
        <w:gridCol w:w="791"/>
        <w:gridCol w:w="862"/>
        <w:gridCol w:w="790"/>
        <w:gridCol w:w="808"/>
        <w:gridCol w:w="844"/>
        <w:gridCol w:w="875"/>
        <w:gridCol w:w="917"/>
        <w:gridCol w:w="790"/>
      </w:tblGrid>
      <w:tr>
        <w:trPr>
          <w:trHeight w:val="222" w:hRule="atLeast"/>
        </w:trPr>
        <w:tc>
          <w:tcPr>
            <w:tcW w:w="1691" w:type="dxa"/>
            <w:tcBorders>
              <w:bottom w:val="single" w:sz="4" w:space="0" w:color="000000"/>
            </w:tcBorders>
          </w:tcPr>
          <w:p>
            <w:pPr>
              <w:pStyle w:val="TableParagraph"/>
              <w:spacing w:line="240" w:lineRule="auto" w:before="0"/>
              <w:jc w:val="left"/>
              <w:rPr>
                <w:rFonts w:ascii="Times New Roman"/>
                <w:sz w:val="16"/>
              </w:rPr>
            </w:pPr>
          </w:p>
        </w:tc>
        <w:tc>
          <w:tcPr>
            <w:tcW w:w="836" w:type="dxa"/>
            <w:tcBorders>
              <w:bottom w:val="single" w:sz="4" w:space="0" w:color="000000"/>
            </w:tcBorders>
          </w:tcPr>
          <w:p>
            <w:pPr>
              <w:pStyle w:val="TableParagraph"/>
              <w:spacing w:line="199" w:lineRule="exact"/>
              <w:ind w:left="43"/>
              <w:rPr>
                <w:b/>
                <w:sz w:val="18"/>
              </w:rPr>
            </w:pPr>
            <w:r>
              <w:rPr>
                <w:b/>
                <w:w w:val="103"/>
                <w:sz w:val="18"/>
              </w:rPr>
              <w:t>S</w:t>
            </w:r>
          </w:p>
        </w:tc>
        <w:tc>
          <w:tcPr>
            <w:tcW w:w="790" w:type="dxa"/>
            <w:tcBorders>
              <w:bottom w:val="single" w:sz="4" w:space="0" w:color="000000"/>
            </w:tcBorders>
          </w:tcPr>
          <w:p>
            <w:pPr>
              <w:pStyle w:val="TableParagraph"/>
              <w:spacing w:line="199" w:lineRule="exact"/>
              <w:ind w:right="1"/>
              <w:rPr>
                <w:b/>
                <w:sz w:val="18"/>
              </w:rPr>
            </w:pPr>
            <w:r>
              <w:rPr>
                <w:b/>
                <w:w w:val="103"/>
                <w:sz w:val="18"/>
              </w:rPr>
              <w:t>I</w:t>
            </w:r>
          </w:p>
        </w:tc>
        <w:tc>
          <w:tcPr>
            <w:tcW w:w="791" w:type="dxa"/>
            <w:tcBorders>
              <w:bottom w:val="single" w:sz="4" w:space="0" w:color="000000"/>
            </w:tcBorders>
          </w:tcPr>
          <w:p>
            <w:pPr>
              <w:pStyle w:val="TableParagraph"/>
              <w:spacing w:line="199" w:lineRule="exact"/>
              <w:ind w:right="3"/>
              <w:rPr>
                <w:b/>
                <w:sz w:val="18"/>
              </w:rPr>
            </w:pPr>
            <w:r>
              <w:rPr>
                <w:b/>
                <w:w w:val="103"/>
                <w:sz w:val="18"/>
              </w:rPr>
              <w:t>R</w:t>
            </w:r>
          </w:p>
        </w:tc>
        <w:tc>
          <w:tcPr>
            <w:tcW w:w="862" w:type="dxa"/>
            <w:tcBorders>
              <w:bottom w:val="single" w:sz="4" w:space="0" w:color="000000"/>
            </w:tcBorders>
          </w:tcPr>
          <w:p>
            <w:pPr>
              <w:pStyle w:val="TableParagraph"/>
              <w:spacing w:line="199" w:lineRule="exact"/>
              <w:ind w:right="1"/>
              <w:rPr>
                <w:b/>
                <w:sz w:val="18"/>
              </w:rPr>
            </w:pPr>
            <w:r>
              <w:rPr>
                <w:b/>
                <w:w w:val="103"/>
                <w:sz w:val="18"/>
              </w:rPr>
              <w:t>S</w:t>
            </w:r>
          </w:p>
        </w:tc>
        <w:tc>
          <w:tcPr>
            <w:tcW w:w="790" w:type="dxa"/>
            <w:tcBorders>
              <w:bottom w:val="single" w:sz="4" w:space="0" w:color="000000"/>
            </w:tcBorders>
          </w:tcPr>
          <w:p>
            <w:pPr>
              <w:pStyle w:val="TableParagraph"/>
              <w:spacing w:line="199" w:lineRule="exact"/>
              <w:ind w:right="5"/>
              <w:rPr>
                <w:b/>
                <w:sz w:val="18"/>
              </w:rPr>
            </w:pPr>
            <w:r>
              <w:rPr>
                <w:b/>
                <w:w w:val="103"/>
                <w:sz w:val="18"/>
              </w:rPr>
              <w:t>I</w:t>
            </w:r>
          </w:p>
        </w:tc>
        <w:tc>
          <w:tcPr>
            <w:tcW w:w="808" w:type="dxa"/>
            <w:tcBorders>
              <w:bottom w:val="single" w:sz="4" w:space="0" w:color="000000"/>
            </w:tcBorders>
          </w:tcPr>
          <w:p>
            <w:pPr>
              <w:pStyle w:val="TableParagraph"/>
              <w:spacing w:line="199" w:lineRule="exact"/>
              <w:ind w:right="24"/>
              <w:rPr>
                <w:b/>
                <w:sz w:val="18"/>
              </w:rPr>
            </w:pPr>
            <w:r>
              <w:rPr>
                <w:b/>
                <w:w w:val="103"/>
                <w:sz w:val="18"/>
              </w:rPr>
              <w:t>R</w:t>
            </w:r>
          </w:p>
        </w:tc>
        <w:tc>
          <w:tcPr>
            <w:tcW w:w="844" w:type="dxa"/>
            <w:tcBorders>
              <w:bottom w:val="single" w:sz="4" w:space="0" w:color="000000"/>
            </w:tcBorders>
          </w:tcPr>
          <w:p>
            <w:pPr>
              <w:pStyle w:val="TableParagraph"/>
              <w:spacing w:line="199" w:lineRule="exact"/>
              <w:ind w:right="24"/>
              <w:rPr>
                <w:b/>
                <w:sz w:val="18"/>
              </w:rPr>
            </w:pPr>
            <w:r>
              <w:rPr>
                <w:b/>
                <w:w w:val="103"/>
                <w:sz w:val="18"/>
              </w:rPr>
              <w:t>S</w:t>
            </w:r>
          </w:p>
        </w:tc>
        <w:tc>
          <w:tcPr>
            <w:tcW w:w="875" w:type="dxa"/>
            <w:tcBorders>
              <w:bottom w:val="single" w:sz="4" w:space="0" w:color="000000"/>
            </w:tcBorders>
          </w:tcPr>
          <w:p>
            <w:pPr>
              <w:pStyle w:val="TableParagraph"/>
              <w:spacing w:line="199" w:lineRule="exact"/>
              <w:ind w:right="22"/>
              <w:rPr>
                <w:b/>
                <w:sz w:val="18"/>
              </w:rPr>
            </w:pPr>
            <w:r>
              <w:rPr>
                <w:b/>
                <w:w w:val="103"/>
                <w:sz w:val="18"/>
              </w:rPr>
              <w:t>I</w:t>
            </w:r>
          </w:p>
        </w:tc>
        <w:tc>
          <w:tcPr>
            <w:tcW w:w="917" w:type="dxa"/>
            <w:tcBorders>
              <w:bottom w:val="single" w:sz="4" w:space="0" w:color="000000"/>
            </w:tcBorders>
          </w:tcPr>
          <w:p>
            <w:pPr>
              <w:pStyle w:val="TableParagraph"/>
              <w:spacing w:line="199" w:lineRule="exact"/>
              <w:ind w:right="37"/>
              <w:rPr>
                <w:b/>
                <w:sz w:val="18"/>
              </w:rPr>
            </w:pPr>
            <w:r>
              <w:rPr>
                <w:b/>
                <w:w w:val="103"/>
                <w:sz w:val="18"/>
              </w:rPr>
              <w:t>R</w:t>
            </w:r>
          </w:p>
        </w:tc>
        <w:tc>
          <w:tcPr>
            <w:tcW w:w="790" w:type="dxa"/>
            <w:tcBorders>
              <w:bottom w:val="single" w:sz="4" w:space="0" w:color="000000"/>
            </w:tcBorders>
          </w:tcPr>
          <w:p>
            <w:pPr>
              <w:pStyle w:val="TableParagraph"/>
              <w:spacing w:line="240" w:lineRule="auto" w:before="0"/>
              <w:jc w:val="left"/>
              <w:rPr>
                <w:rFonts w:ascii="Times New Roman"/>
                <w:sz w:val="16"/>
              </w:rPr>
            </w:pPr>
          </w:p>
        </w:tc>
      </w:tr>
      <w:tr>
        <w:trPr>
          <w:trHeight w:val="212" w:hRule="atLeast"/>
        </w:trPr>
        <w:tc>
          <w:tcPr>
            <w:tcW w:w="1691" w:type="dxa"/>
            <w:tcBorders>
              <w:top w:val="single" w:sz="4" w:space="0" w:color="000000"/>
            </w:tcBorders>
          </w:tcPr>
          <w:p>
            <w:pPr>
              <w:pStyle w:val="TableParagraph"/>
              <w:spacing w:line="190" w:lineRule="exact" w:before="0"/>
              <w:ind w:left="100"/>
              <w:jc w:val="left"/>
              <w:rPr>
                <w:sz w:val="18"/>
              </w:rPr>
            </w:pPr>
            <w:r>
              <w:rPr>
                <w:w w:val="105"/>
                <w:sz w:val="18"/>
              </w:rPr>
              <w:t>Amoxicillin</w:t>
            </w:r>
          </w:p>
        </w:tc>
        <w:tc>
          <w:tcPr>
            <w:tcW w:w="836" w:type="dxa"/>
            <w:tcBorders>
              <w:top w:val="single" w:sz="4" w:space="0" w:color="000000"/>
            </w:tcBorders>
          </w:tcPr>
          <w:p>
            <w:pPr>
              <w:pStyle w:val="TableParagraph"/>
              <w:spacing w:line="190" w:lineRule="exact" w:before="0"/>
              <w:ind w:right="125"/>
              <w:jc w:val="right"/>
              <w:rPr>
                <w:sz w:val="18"/>
              </w:rPr>
            </w:pPr>
            <w:r>
              <w:rPr>
                <w:sz w:val="18"/>
              </w:rPr>
              <w:t>23(74)</w:t>
            </w:r>
          </w:p>
        </w:tc>
        <w:tc>
          <w:tcPr>
            <w:tcW w:w="790" w:type="dxa"/>
            <w:tcBorders>
              <w:top w:val="single" w:sz="4" w:space="0" w:color="000000"/>
            </w:tcBorders>
          </w:tcPr>
          <w:p>
            <w:pPr>
              <w:pStyle w:val="TableParagraph"/>
              <w:spacing w:line="190" w:lineRule="exact" w:before="0"/>
              <w:ind w:right="224"/>
              <w:jc w:val="right"/>
              <w:rPr>
                <w:sz w:val="18"/>
              </w:rPr>
            </w:pPr>
            <w:r>
              <w:rPr>
                <w:sz w:val="18"/>
              </w:rPr>
              <w:t>0(0)</w:t>
            </w:r>
          </w:p>
        </w:tc>
        <w:tc>
          <w:tcPr>
            <w:tcW w:w="791" w:type="dxa"/>
            <w:tcBorders>
              <w:top w:val="single" w:sz="4" w:space="0" w:color="000000"/>
            </w:tcBorders>
          </w:tcPr>
          <w:p>
            <w:pPr>
              <w:pStyle w:val="TableParagraph"/>
              <w:spacing w:line="190" w:lineRule="exact" w:before="0"/>
              <w:ind w:left="107" w:right="107"/>
              <w:rPr>
                <w:sz w:val="18"/>
              </w:rPr>
            </w:pPr>
            <w:r>
              <w:rPr>
                <w:w w:val="105"/>
                <w:sz w:val="18"/>
              </w:rPr>
              <w:t>8(26)</w:t>
            </w:r>
          </w:p>
        </w:tc>
        <w:tc>
          <w:tcPr>
            <w:tcW w:w="862" w:type="dxa"/>
            <w:tcBorders>
              <w:top w:val="single" w:sz="4" w:space="0" w:color="000000"/>
            </w:tcBorders>
          </w:tcPr>
          <w:p>
            <w:pPr>
              <w:pStyle w:val="TableParagraph"/>
              <w:spacing w:line="190" w:lineRule="exact" w:before="0"/>
              <w:ind w:left="108" w:right="108"/>
              <w:rPr>
                <w:sz w:val="18"/>
              </w:rPr>
            </w:pPr>
            <w:r>
              <w:rPr>
                <w:w w:val="105"/>
                <w:sz w:val="18"/>
              </w:rPr>
              <w:t>32((60)</w:t>
            </w:r>
          </w:p>
        </w:tc>
        <w:tc>
          <w:tcPr>
            <w:tcW w:w="790" w:type="dxa"/>
            <w:tcBorders>
              <w:top w:val="single" w:sz="4" w:space="0" w:color="000000"/>
            </w:tcBorders>
          </w:tcPr>
          <w:p>
            <w:pPr>
              <w:pStyle w:val="TableParagraph"/>
              <w:spacing w:line="190" w:lineRule="exact" w:before="0"/>
              <w:ind w:left="104" w:right="107"/>
              <w:rPr>
                <w:sz w:val="18"/>
              </w:rPr>
            </w:pPr>
            <w:r>
              <w:rPr>
                <w:w w:val="105"/>
                <w:sz w:val="18"/>
              </w:rPr>
              <w:t>3(6)</w:t>
            </w:r>
          </w:p>
        </w:tc>
        <w:tc>
          <w:tcPr>
            <w:tcW w:w="808" w:type="dxa"/>
            <w:tcBorders>
              <w:top w:val="single" w:sz="4" w:space="0" w:color="000000"/>
            </w:tcBorders>
          </w:tcPr>
          <w:p>
            <w:pPr>
              <w:pStyle w:val="TableParagraph"/>
              <w:spacing w:line="190" w:lineRule="exact" w:before="0"/>
              <w:ind w:left="106" w:right="125"/>
              <w:rPr>
                <w:sz w:val="18"/>
              </w:rPr>
            </w:pPr>
            <w:r>
              <w:rPr>
                <w:w w:val="105"/>
                <w:sz w:val="18"/>
              </w:rPr>
              <w:t>18(34)</w:t>
            </w:r>
          </w:p>
        </w:tc>
        <w:tc>
          <w:tcPr>
            <w:tcW w:w="844" w:type="dxa"/>
            <w:tcBorders>
              <w:top w:val="single" w:sz="4" w:space="0" w:color="000000"/>
            </w:tcBorders>
          </w:tcPr>
          <w:p>
            <w:pPr>
              <w:pStyle w:val="TableParagraph"/>
              <w:spacing w:line="190" w:lineRule="exact" w:before="0"/>
              <w:ind w:left="124" w:right="144"/>
              <w:rPr>
                <w:sz w:val="18"/>
              </w:rPr>
            </w:pPr>
            <w:r>
              <w:rPr>
                <w:w w:val="105"/>
                <w:sz w:val="18"/>
              </w:rPr>
              <w:t>55(65)</w:t>
            </w:r>
          </w:p>
        </w:tc>
        <w:tc>
          <w:tcPr>
            <w:tcW w:w="875" w:type="dxa"/>
            <w:tcBorders>
              <w:top w:val="single" w:sz="4" w:space="0" w:color="000000"/>
            </w:tcBorders>
          </w:tcPr>
          <w:p>
            <w:pPr>
              <w:pStyle w:val="TableParagraph"/>
              <w:spacing w:line="190" w:lineRule="exact" w:before="0"/>
              <w:ind w:left="258"/>
              <w:jc w:val="left"/>
              <w:rPr>
                <w:sz w:val="18"/>
              </w:rPr>
            </w:pPr>
            <w:r>
              <w:rPr>
                <w:w w:val="105"/>
                <w:sz w:val="18"/>
              </w:rPr>
              <w:t>3(4)</w:t>
            </w:r>
          </w:p>
        </w:tc>
        <w:tc>
          <w:tcPr>
            <w:tcW w:w="917" w:type="dxa"/>
            <w:tcBorders>
              <w:top w:val="single" w:sz="4" w:space="0" w:color="000000"/>
            </w:tcBorders>
          </w:tcPr>
          <w:p>
            <w:pPr>
              <w:pStyle w:val="TableParagraph"/>
              <w:spacing w:line="190" w:lineRule="exact" w:before="0"/>
              <w:ind w:left="156" w:right="185"/>
              <w:rPr>
                <w:sz w:val="18"/>
              </w:rPr>
            </w:pPr>
            <w:r>
              <w:rPr>
                <w:w w:val="105"/>
                <w:sz w:val="18"/>
              </w:rPr>
              <w:t>26(31)</w:t>
            </w:r>
          </w:p>
        </w:tc>
        <w:tc>
          <w:tcPr>
            <w:tcW w:w="790" w:type="dxa"/>
            <w:tcBorders>
              <w:top w:val="single" w:sz="4" w:space="0" w:color="000000"/>
            </w:tcBorders>
          </w:tcPr>
          <w:p>
            <w:pPr>
              <w:pStyle w:val="TableParagraph"/>
              <w:spacing w:line="190" w:lineRule="exact" w:before="0"/>
              <w:ind w:left="88" w:right="107"/>
              <w:rPr>
                <w:sz w:val="18"/>
              </w:rPr>
            </w:pPr>
            <w:r>
              <w:rPr>
                <w:w w:val="105"/>
                <w:sz w:val="18"/>
              </w:rPr>
              <w:t>2.12</w:t>
            </w:r>
          </w:p>
        </w:tc>
      </w:tr>
      <w:tr>
        <w:trPr>
          <w:trHeight w:val="218" w:hRule="atLeast"/>
        </w:trPr>
        <w:tc>
          <w:tcPr>
            <w:tcW w:w="1691" w:type="dxa"/>
          </w:tcPr>
          <w:p>
            <w:pPr>
              <w:pStyle w:val="TableParagraph"/>
              <w:ind w:left="100"/>
              <w:jc w:val="left"/>
              <w:rPr>
                <w:sz w:val="18"/>
              </w:rPr>
            </w:pPr>
            <w:r>
              <w:rPr>
                <w:w w:val="105"/>
                <w:sz w:val="18"/>
              </w:rPr>
              <w:t>Ampicillin</w:t>
            </w:r>
          </w:p>
        </w:tc>
        <w:tc>
          <w:tcPr>
            <w:tcW w:w="836" w:type="dxa"/>
          </w:tcPr>
          <w:p>
            <w:pPr>
              <w:pStyle w:val="TableParagraph"/>
              <w:ind w:right="224"/>
              <w:jc w:val="right"/>
              <w:rPr>
                <w:sz w:val="18"/>
              </w:rPr>
            </w:pPr>
            <w:r>
              <w:rPr>
                <w:sz w:val="18"/>
              </w:rPr>
              <w:t>2(6)</w:t>
            </w:r>
          </w:p>
        </w:tc>
        <w:tc>
          <w:tcPr>
            <w:tcW w:w="790" w:type="dxa"/>
          </w:tcPr>
          <w:p>
            <w:pPr>
              <w:pStyle w:val="TableParagraph"/>
              <w:ind w:right="224"/>
              <w:jc w:val="right"/>
              <w:rPr>
                <w:sz w:val="18"/>
              </w:rPr>
            </w:pPr>
            <w:r>
              <w:rPr>
                <w:sz w:val="18"/>
              </w:rPr>
              <w:t>0(0)</w:t>
            </w:r>
          </w:p>
        </w:tc>
        <w:tc>
          <w:tcPr>
            <w:tcW w:w="791" w:type="dxa"/>
          </w:tcPr>
          <w:p>
            <w:pPr>
              <w:pStyle w:val="TableParagraph"/>
              <w:ind w:left="107" w:right="107"/>
              <w:rPr>
                <w:sz w:val="18"/>
              </w:rPr>
            </w:pPr>
            <w:r>
              <w:rPr>
                <w:w w:val="105"/>
                <w:sz w:val="18"/>
              </w:rPr>
              <w:t>29(94)</w:t>
            </w:r>
          </w:p>
        </w:tc>
        <w:tc>
          <w:tcPr>
            <w:tcW w:w="862" w:type="dxa"/>
          </w:tcPr>
          <w:p>
            <w:pPr>
              <w:pStyle w:val="TableParagraph"/>
              <w:ind w:left="106" w:right="108"/>
              <w:rPr>
                <w:sz w:val="18"/>
              </w:rPr>
            </w:pPr>
            <w:r>
              <w:rPr>
                <w:w w:val="105"/>
                <w:sz w:val="18"/>
              </w:rPr>
              <w:t>6(11)</w:t>
            </w:r>
          </w:p>
        </w:tc>
        <w:tc>
          <w:tcPr>
            <w:tcW w:w="790" w:type="dxa"/>
          </w:tcPr>
          <w:p>
            <w:pPr>
              <w:pStyle w:val="TableParagraph"/>
              <w:ind w:left="104" w:right="107"/>
              <w:rPr>
                <w:sz w:val="18"/>
              </w:rPr>
            </w:pPr>
            <w:r>
              <w:rPr>
                <w:w w:val="105"/>
                <w:sz w:val="18"/>
              </w:rPr>
              <w:t>0(0)</w:t>
            </w:r>
          </w:p>
        </w:tc>
        <w:tc>
          <w:tcPr>
            <w:tcW w:w="808" w:type="dxa"/>
          </w:tcPr>
          <w:p>
            <w:pPr>
              <w:pStyle w:val="TableParagraph"/>
              <w:ind w:left="106" w:right="125"/>
              <w:rPr>
                <w:sz w:val="18"/>
              </w:rPr>
            </w:pPr>
            <w:r>
              <w:rPr>
                <w:w w:val="105"/>
                <w:sz w:val="18"/>
              </w:rPr>
              <w:t>47(89)</w:t>
            </w:r>
          </w:p>
        </w:tc>
        <w:tc>
          <w:tcPr>
            <w:tcW w:w="844" w:type="dxa"/>
          </w:tcPr>
          <w:p>
            <w:pPr>
              <w:pStyle w:val="TableParagraph"/>
              <w:ind w:left="124" w:right="144"/>
              <w:rPr>
                <w:sz w:val="18"/>
              </w:rPr>
            </w:pPr>
            <w:r>
              <w:rPr>
                <w:w w:val="105"/>
                <w:sz w:val="18"/>
              </w:rPr>
              <w:t>8(10)</w:t>
            </w:r>
          </w:p>
        </w:tc>
        <w:tc>
          <w:tcPr>
            <w:tcW w:w="875" w:type="dxa"/>
          </w:tcPr>
          <w:p>
            <w:pPr>
              <w:pStyle w:val="TableParagraph"/>
              <w:ind w:left="258"/>
              <w:jc w:val="left"/>
              <w:rPr>
                <w:sz w:val="18"/>
              </w:rPr>
            </w:pPr>
            <w:r>
              <w:rPr>
                <w:w w:val="105"/>
                <w:sz w:val="18"/>
              </w:rPr>
              <w:t>0(0)</w:t>
            </w:r>
          </w:p>
        </w:tc>
        <w:tc>
          <w:tcPr>
            <w:tcW w:w="917" w:type="dxa"/>
          </w:tcPr>
          <w:p>
            <w:pPr>
              <w:pStyle w:val="TableParagraph"/>
              <w:ind w:left="156" w:right="185"/>
              <w:rPr>
                <w:sz w:val="18"/>
              </w:rPr>
            </w:pPr>
            <w:r>
              <w:rPr>
                <w:w w:val="105"/>
                <w:sz w:val="18"/>
              </w:rPr>
              <w:t>76(90)</w:t>
            </w:r>
          </w:p>
        </w:tc>
        <w:tc>
          <w:tcPr>
            <w:tcW w:w="790" w:type="dxa"/>
          </w:tcPr>
          <w:p>
            <w:pPr>
              <w:pStyle w:val="TableParagraph"/>
              <w:ind w:left="88" w:right="107"/>
              <w:rPr>
                <w:sz w:val="18"/>
              </w:rPr>
            </w:pPr>
            <w:r>
              <w:rPr>
                <w:w w:val="105"/>
                <w:sz w:val="18"/>
              </w:rPr>
              <w:t>0.11</w:t>
            </w:r>
          </w:p>
        </w:tc>
      </w:tr>
      <w:tr>
        <w:trPr>
          <w:trHeight w:val="217" w:hRule="atLeast"/>
        </w:trPr>
        <w:tc>
          <w:tcPr>
            <w:tcW w:w="1691" w:type="dxa"/>
          </w:tcPr>
          <w:p>
            <w:pPr>
              <w:pStyle w:val="TableParagraph"/>
              <w:spacing w:line="190" w:lineRule="exact"/>
              <w:ind w:left="100"/>
              <w:jc w:val="left"/>
              <w:rPr>
                <w:sz w:val="18"/>
              </w:rPr>
            </w:pPr>
            <w:r>
              <w:rPr>
                <w:w w:val="105"/>
                <w:sz w:val="18"/>
              </w:rPr>
              <w:t>Chloramphenicol</w:t>
            </w:r>
          </w:p>
        </w:tc>
        <w:tc>
          <w:tcPr>
            <w:tcW w:w="836" w:type="dxa"/>
          </w:tcPr>
          <w:p>
            <w:pPr>
              <w:pStyle w:val="TableParagraph"/>
              <w:spacing w:line="190" w:lineRule="exact"/>
              <w:ind w:right="125"/>
              <w:jc w:val="right"/>
              <w:rPr>
                <w:sz w:val="18"/>
              </w:rPr>
            </w:pPr>
            <w:r>
              <w:rPr>
                <w:sz w:val="18"/>
              </w:rPr>
              <w:t>19(61)</w:t>
            </w:r>
          </w:p>
        </w:tc>
        <w:tc>
          <w:tcPr>
            <w:tcW w:w="790" w:type="dxa"/>
          </w:tcPr>
          <w:p>
            <w:pPr>
              <w:pStyle w:val="TableParagraph"/>
              <w:spacing w:line="190" w:lineRule="exact"/>
              <w:ind w:right="224"/>
              <w:jc w:val="right"/>
              <w:rPr>
                <w:sz w:val="18"/>
              </w:rPr>
            </w:pPr>
            <w:r>
              <w:rPr>
                <w:sz w:val="18"/>
              </w:rPr>
              <w:t>0(0)</w:t>
            </w:r>
          </w:p>
        </w:tc>
        <w:tc>
          <w:tcPr>
            <w:tcW w:w="791" w:type="dxa"/>
          </w:tcPr>
          <w:p>
            <w:pPr>
              <w:pStyle w:val="TableParagraph"/>
              <w:spacing w:line="190" w:lineRule="exact"/>
              <w:ind w:left="107" w:right="107"/>
              <w:rPr>
                <w:sz w:val="18"/>
              </w:rPr>
            </w:pPr>
            <w:r>
              <w:rPr>
                <w:w w:val="105"/>
                <w:sz w:val="18"/>
              </w:rPr>
              <w:t>12(39)</w:t>
            </w:r>
          </w:p>
        </w:tc>
        <w:tc>
          <w:tcPr>
            <w:tcW w:w="862" w:type="dxa"/>
          </w:tcPr>
          <w:p>
            <w:pPr>
              <w:pStyle w:val="TableParagraph"/>
              <w:spacing w:line="190" w:lineRule="exact"/>
              <w:ind w:left="106" w:right="108"/>
              <w:rPr>
                <w:sz w:val="18"/>
              </w:rPr>
            </w:pPr>
            <w:r>
              <w:rPr>
                <w:w w:val="105"/>
                <w:sz w:val="18"/>
              </w:rPr>
              <w:t>27(51)</w:t>
            </w:r>
          </w:p>
        </w:tc>
        <w:tc>
          <w:tcPr>
            <w:tcW w:w="790" w:type="dxa"/>
          </w:tcPr>
          <w:p>
            <w:pPr>
              <w:pStyle w:val="TableParagraph"/>
              <w:spacing w:line="190" w:lineRule="exact"/>
              <w:ind w:left="107" w:right="107"/>
              <w:rPr>
                <w:sz w:val="18"/>
              </w:rPr>
            </w:pPr>
            <w:r>
              <w:rPr>
                <w:w w:val="105"/>
                <w:sz w:val="18"/>
              </w:rPr>
              <w:t>10(19)</w:t>
            </w:r>
          </w:p>
        </w:tc>
        <w:tc>
          <w:tcPr>
            <w:tcW w:w="808" w:type="dxa"/>
          </w:tcPr>
          <w:p>
            <w:pPr>
              <w:pStyle w:val="TableParagraph"/>
              <w:spacing w:line="190" w:lineRule="exact"/>
              <w:ind w:left="106" w:right="125"/>
              <w:rPr>
                <w:sz w:val="18"/>
              </w:rPr>
            </w:pPr>
            <w:r>
              <w:rPr>
                <w:w w:val="105"/>
                <w:sz w:val="18"/>
              </w:rPr>
              <w:t>16(30)</w:t>
            </w:r>
          </w:p>
        </w:tc>
        <w:tc>
          <w:tcPr>
            <w:tcW w:w="844" w:type="dxa"/>
          </w:tcPr>
          <w:p>
            <w:pPr>
              <w:pStyle w:val="TableParagraph"/>
              <w:spacing w:line="190" w:lineRule="exact"/>
              <w:ind w:left="124" w:right="144"/>
              <w:rPr>
                <w:sz w:val="18"/>
              </w:rPr>
            </w:pPr>
            <w:r>
              <w:rPr>
                <w:w w:val="105"/>
                <w:sz w:val="18"/>
              </w:rPr>
              <w:t>46(55)</w:t>
            </w:r>
          </w:p>
        </w:tc>
        <w:tc>
          <w:tcPr>
            <w:tcW w:w="875" w:type="dxa"/>
          </w:tcPr>
          <w:p>
            <w:pPr>
              <w:pStyle w:val="TableParagraph"/>
              <w:spacing w:line="190" w:lineRule="exact"/>
              <w:ind w:left="210"/>
              <w:jc w:val="left"/>
              <w:rPr>
                <w:sz w:val="18"/>
              </w:rPr>
            </w:pPr>
            <w:r>
              <w:rPr>
                <w:w w:val="105"/>
                <w:sz w:val="18"/>
              </w:rPr>
              <w:t>10(0)</w:t>
            </w:r>
          </w:p>
        </w:tc>
        <w:tc>
          <w:tcPr>
            <w:tcW w:w="917" w:type="dxa"/>
          </w:tcPr>
          <w:p>
            <w:pPr>
              <w:pStyle w:val="TableParagraph"/>
              <w:spacing w:line="190" w:lineRule="exact"/>
              <w:ind w:left="156" w:right="185"/>
              <w:rPr>
                <w:sz w:val="18"/>
              </w:rPr>
            </w:pPr>
            <w:r>
              <w:rPr>
                <w:w w:val="105"/>
                <w:sz w:val="18"/>
              </w:rPr>
              <w:t>28(33)</w:t>
            </w:r>
          </w:p>
        </w:tc>
        <w:tc>
          <w:tcPr>
            <w:tcW w:w="790" w:type="dxa"/>
          </w:tcPr>
          <w:p>
            <w:pPr>
              <w:pStyle w:val="TableParagraph"/>
              <w:spacing w:line="190" w:lineRule="exact"/>
              <w:ind w:left="88" w:right="107"/>
              <w:rPr>
                <w:sz w:val="18"/>
              </w:rPr>
            </w:pPr>
            <w:r>
              <w:rPr>
                <w:w w:val="105"/>
                <w:sz w:val="18"/>
              </w:rPr>
              <w:t>1.64</w:t>
            </w:r>
          </w:p>
        </w:tc>
      </w:tr>
      <w:tr>
        <w:trPr>
          <w:trHeight w:val="217" w:hRule="atLeast"/>
        </w:trPr>
        <w:tc>
          <w:tcPr>
            <w:tcW w:w="1691" w:type="dxa"/>
          </w:tcPr>
          <w:p>
            <w:pPr>
              <w:pStyle w:val="TableParagraph"/>
              <w:spacing w:before="6"/>
              <w:ind w:left="100"/>
              <w:jc w:val="left"/>
              <w:rPr>
                <w:sz w:val="18"/>
              </w:rPr>
            </w:pPr>
            <w:r>
              <w:rPr>
                <w:w w:val="105"/>
                <w:sz w:val="18"/>
              </w:rPr>
              <w:t>Cotrimoxazole</w:t>
            </w:r>
          </w:p>
        </w:tc>
        <w:tc>
          <w:tcPr>
            <w:tcW w:w="836" w:type="dxa"/>
          </w:tcPr>
          <w:p>
            <w:pPr>
              <w:pStyle w:val="TableParagraph"/>
              <w:spacing w:before="6"/>
              <w:ind w:right="176"/>
              <w:jc w:val="right"/>
              <w:rPr>
                <w:sz w:val="18"/>
              </w:rPr>
            </w:pPr>
            <w:r>
              <w:rPr>
                <w:sz w:val="18"/>
              </w:rPr>
              <w:t>6(19)</w:t>
            </w:r>
          </w:p>
        </w:tc>
        <w:tc>
          <w:tcPr>
            <w:tcW w:w="790" w:type="dxa"/>
          </w:tcPr>
          <w:p>
            <w:pPr>
              <w:pStyle w:val="TableParagraph"/>
              <w:spacing w:before="6"/>
              <w:ind w:right="224"/>
              <w:jc w:val="right"/>
              <w:rPr>
                <w:sz w:val="18"/>
              </w:rPr>
            </w:pPr>
            <w:r>
              <w:rPr>
                <w:sz w:val="18"/>
              </w:rPr>
              <w:t>0(0)</w:t>
            </w:r>
          </w:p>
        </w:tc>
        <w:tc>
          <w:tcPr>
            <w:tcW w:w="791" w:type="dxa"/>
          </w:tcPr>
          <w:p>
            <w:pPr>
              <w:pStyle w:val="TableParagraph"/>
              <w:spacing w:before="6"/>
              <w:ind w:left="107" w:right="107"/>
              <w:rPr>
                <w:sz w:val="18"/>
              </w:rPr>
            </w:pPr>
            <w:r>
              <w:rPr>
                <w:w w:val="105"/>
                <w:sz w:val="18"/>
              </w:rPr>
              <w:t>25(81)</w:t>
            </w:r>
          </w:p>
        </w:tc>
        <w:tc>
          <w:tcPr>
            <w:tcW w:w="862" w:type="dxa"/>
          </w:tcPr>
          <w:p>
            <w:pPr>
              <w:pStyle w:val="TableParagraph"/>
              <w:spacing w:before="6"/>
              <w:ind w:left="106" w:right="108"/>
              <w:rPr>
                <w:sz w:val="18"/>
              </w:rPr>
            </w:pPr>
            <w:r>
              <w:rPr>
                <w:w w:val="105"/>
                <w:sz w:val="18"/>
              </w:rPr>
              <w:t>18(34)</w:t>
            </w:r>
          </w:p>
        </w:tc>
        <w:tc>
          <w:tcPr>
            <w:tcW w:w="790" w:type="dxa"/>
          </w:tcPr>
          <w:p>
            <w:pPr>
              <w:pStyle w:val="TableParagraph"/>
              <w:spacing w:before="6"/>
              <w:ind w:left="104" w:right="107"/>
              <w:rPr>
                <w:sz w:val="18"/>
              </w:rPr>
            </w:pPr>
            <w:r>
              <w:rPr>
                <w:w w:val="105"/>
                <w:sz w:val="18"/>
              </w:rPr>
              <w:t>0(0)</w:t>
            </w:r>
          </w:p>
        </w:tc>
        <w:tc>
          <w:tcPr>
            <w:tcW w:w="808" w:type="dxa"/>
          </w:tcPr>
          <w:p>
            <w:pPr>
              <w:pStyle w:val="TableParagraph"/>
              <w:spacing w:before="6"/>
              <w:ind w:left="106" w:right="125"/>
              <w:rPr>
                <w:sz w:val="18"/>
              </w:rPr>
            </w:pPr>
            <w:r>
              <w:rPr>
                <w:w w:val="105"/>
                <w:sz w:val="18"/>
              </w:rPr>
              <w:t>35(66)</w:t>
            </w:r>
          </w:p>
        </w:tc>
        <w:tc>
          <w:tcPr>
            <w:tcW w:w="844" w:type="dxa"/>
          </w:tcPr>
          <w:p>
            <w:pPr>
              <w:pStyle w:val="TableParagraph"/>
              <w:spacing w:before="6"/>
              <w:ind w:left="124" w:right="144"/>
              <w:rPr>
                <w:sz w:val="18"/>
              </w:rPr>
            </w:pPr>
            <w:r>
              <w:rPr>
                <w:w w:val="105"/>
                <w:sz w:val="18"/>
              </w:rPr>
              <w:t>24(29)</w:t>
            </w:r>
          </w:p>
        </w:tc>
        <w:tc>
          <w:tcPr>
            <w:tcW w:w="875" w:type="dxa"/>
          </w:tcPr>
          <w:p>
            <w:pPr>
              <w:pStyle w:val="TableParagraph"/>
              <w:spacing w:before="6"/>
              <w:ind w:left="258"/>
              <w:jc w:val="left"/>
              <w:rPr>
                <w:sz w:val="18"/>
              </w:rPr>
            </w:pPr>
            <w:r>
              <w:rPr>
                <w:w w:val="105"/>
                <w:sz w:val="18"/>
              </w:rPr>
              <w:t>0(0)</w:t>
            </w:r>
          </w:p>
        </w:tc>
        <w:tc>
          <w:tcPr>
            <w:tcW w:w="917" w:type="dxa"/>
          </w:tcPr>
          <w:p>
            <w:pPr>
              <w:pStyle w:val="TableParagraph"/>
              <w:spacing w:before="6"/>
              <w:ind w:left="156" w:right="185"/>
              <w:rPr>
                <w:sz w:val="18"/>
              </w:rPr>
            </w:pPr>
            <w:r>
              <w:rPr>
                <w:w w:val="105"/>
                <w:sz w:val="18"/>
              </w:rPr>
              <w:t>60(71)</w:t>
            </w:r>
          </w:p>
        </w:tc>
        <w:tc>
          <w:tcPr>
            <w:tcW w:w="790" w:type="dxa"/>
          </w:tcPr>
          <w:p>
            <w:pPr>
              <w:pStyle w:val="TableParagraph"/>
              <w:spacing w:before="6"/>
              <w:ind w:left="88" w:right="107"/>
              <w:rPr>
                <w:sz w:val="18"/>
              </w:rPr>
            </w:pPr>
            <w:r>
              <w:rPr>
                <w:w w:val="105"/>
                <w:sz w:val="18"/>
              </w:rPr>
              <w:t>0.41</w:t>
            </w:r>
          </w:p>
        </w:tc>
      </w:tr>
      <w:tr>
        <w:trPr>
          <w:trHeight w:val="219" w:hRule="atLeast"/>
        </w:trPr>
        <w:tc>
          <w:tcPr>
            <w:tcW w:w="1691" w:type="dxa"/>
          </w:tcPr>
          <w:p>
            <w:pPr>
              <w:pStyle w:val="TableParagraph"/>
              <w:spacing w:line="192" w:lineRule="exact"/>
              <w:ind w:left="100"/>
              <w:jc w:val="left"/>
              <w:rPr>
                <w:sz w:val="18"/>
              </w:rPr>
            </w:pPr>
            <w:r>
              <w:rPr>
                <w:w w:val="105"/>
                <w:sz w:val="18"/>
              </w:rPr>
              <w:t>Tetracycline</w:t>
            </w:r>
          </w:p>
        </w:tc>
        <w:tc>
          <w:tcPr>
            <w:tcW w:w="836" w:type="dxa"/>
          </w:tcPr>
          <w:p>
            <w:pPr>
              <w:pStyle w:val="TableParagraph"/>
              <w:spacing w:line="192" w:lineRule="exact"/>
              <w:ind w:right="125"/>
              <w:jc w:val="right"/>
              <w:rPr>
                <w:sz w:val="18"/>
              </w:rPr>
            </w:pPr>
            <w:r>
              <w:rPr>
                <w:sz w:val="18"/>
              </w:rPr>
              <w:t>11(35)</w:t>
            </w:r>
          </w:p>
        </w:tc>
        <w:tc>
          <w:tcPr>
            <w:tcW w:w="790" w:type="dxa"/>
          </w:tcPr>
          <w:p>
            <w:pPr>
              <w:pStyle w:val="TableParagraph"/>
              <w:spacing w:line="192" w:lineRule="exact"/>
              <w:ind w:right="224"/>
              <w:jc w:val="right"/>
              <w:rPr>
                <w:sz w:val="18"/>
              </w:rPr>
            </w:pPr>
            <w:r>
              <w:rPr>
                <w:sz w:val="18"/>
              </w:rPr>
              <w:t>0(0)</w:t>
            </w:r>
          </w:p>
        </w:tc>
        <w:tc>
          <w:tcPr>
            <w:tcW w:w="791" w:type="dxa"/>
          </w:tcPr>
          <w:p>
            <w:pPr>
              <w:pStyle w:val="TableParagraph"/>
              <w:spacing w:line="192" w:lineRule="exact"/>
              <w:ind w:left="107" w:right="107"/>
              <w:rPr>
                <w:sz w:val="18"/>
              </w:rPr>
            </w:pPr>
            <w:r>
              <w:rPr>
                <w:w w:val="105"/>
                <w:sz w:val="18"/>
              </w:rPr>
              <w:t>20(65)</w:t>
            </w:r>
          </w:p>
        </w:tc>
        <w:tc>
          <w:tcPr>
            <w:tcW w:w="862" w:type="dxa"/>
          </w:tcPr>
          <w:p>
            <w:pPr>
              <w:pStyle w:val="TableParagraph"/>
              <w:spacing w:line="192" w:lineRule="exact"/>
              <w:ind w:left="106" w:right="108"/>
              <w:rPr>
                <w:sz w:val="18"/>
              </w:rPr>
            </w:pPr>
            <w:r>
              <w:rPr>
                <w:w w:val="105"/>
                <w:sz w:val="18"/>
              </w:rPr>
              <w:t>11(21)</w:t>
            </w:r>
          </w:p>
        </w:tc>
        <w:tc>
          <w:tcPr>
            <w:tcW w:w="790" w:type="dxa"/>
          </w:tcPr>
          <w:p>
            <w:pPr>
              <w:pStyle w:val="TableParagraph"/>
              <w:spacing w:line="192" w:lineRule="exact"/>
              <w:ind w:left="104" w:right="107"/>
              <w:rPr>
                <w:sz w:val="18"/>
              </w:rPr>
            </w:pPr>
            <w:r>
              <w:rPr>
                <w:w w:val="105"/>
                <w:sz w:val="18"/>
              </w:rPr>
              <w:t>3(6)</w:t>
            </w:r>
          </w:p>
        </w:tc>
        <w:tc>
          <w:tcPr>
            <w:tcW w:w="808" w:type="dxa"/>
          </w:tcPr>
          <w:p>
            <w:pPr>
              <w:pStyle w:val="TableParagraph"/>
              <w:spacing w:line="192" w:lineRule="exact"/>
              <w:ind w:left="106" w:right="125"/>
              <w:rPr>
                <w:sz w:val="18"/>
              </w:rPr>
            </w:pPr>
            <w:r>
              <w:rPr>
                <w:w w:val="105"/>
                <w:sz w:val="18"/>
              </w:rPr>
              <w:t>39(74)</w:t>
            </w:r>
          </w:p>
        </w:tc>
        <w:tc>
          <w:tcPr>
            <w:tcW w:w="844" w:type="dxa"/>
          </w:tcPr>
          <w:p>
            <w:pPr>
              <w:pStyle w:val="TableParagraph"/>
              <w:spacing w:line="192" w:lineRule="exact"/>
              <w:ind w:left="124" w:right="144"/>
              <w:rPr>
                <w:sz w:val="18"/>
              </w:rPr>
            </w:pPr>
            <w:r>
              <w:rPr>
                <w:w w:val="105"/>
                <w:sz w:val="18"/>
              </w:rPr>
              <w:t>22(26)</w:t>
            </w:r>
          </w:p>
        </w:tc>
        <w:tc>
          <w:tcPr>
            <w:tcW w:w="875" w:type="dxa"/>
          </w:tcPr>
          <w:p>
            <w:pPr>
              <w:pStyle w:val="TableParagraph"/>
              <w:spacing w:line="192" w:lineRule="exact"/>
              <w:ind w:left="258"/>
              <w:jc w:val="left"/>
              <w:rPr>
                <w:sz w:val="18"/>
              </w:rPr>
            </w:pPr>
            <w:r>
              <w:rPr>
                <w:w w:val="105"/>
                <w:sz w:val="18"/>
              </w:rPr>
              <w:t>3(4)</w:t>
            </w:r>
          </w:p>
        </w:tc>
        <w:tc>
          <w:tcPr>
            <w:tcW w:w="917" w:type="dxa"/>
          </w:tcPr>
          <w:p>
            <w:pPr>
              <w:pStyle w:val="TableParagraph"/>
              <w:spacing w:line="192" w:lineRule="exact"/>
              <w:ind w:left="156" w:right="185"/>
              <w:rPr>
                <w:sz w:val="18"/>
              </w:rPr>
            </w:pPr>
            <w:r>
              <w:rPr>
                <w:w w:val="105"/>
                <w:sz w:val="18"/>
              </w:rPr>
              <w:t>59(70)</w:t>
            </w:r>
          </w:p>
        </w:tc>
        <w:tc>
          <w:tcPr>
            <w:tcW w:w="790" w:type="dxa"/>
          </w:tcPr>
          <w:p>
            <w:pPr>
              <w:pStyle w:val="TableParagraph"/>
              <w:spacing w:line="192" w:lineRule="exact"/>
              <w:ind w:left="88" w:right="107"/>
              <w:rPr>
                <w:sz w:val="18"/>
              </w:rPr>
            </w:pPr>
            <w:r>
              <w:rPr>
                <w:w w:val="105"/>
                <w:sz w:val="18"/>
              </w:rPr>
              <w:t>0.37</w:t>
            </w:r>
          </w:p>
        </w:tc>
      </w:tr>
      <w:tr>
        <w:trPr>
          <w:trHeight w:val="219" w:hRule="atLeast"/>
        </w:trPr>
        <w:tc>
          <w:tcPr>
            <w:tcW w:w="1691" w:type="dxa"/>
          </w:tcPr>
          <w:p>
            <w:pPr>
              <w:pStyle w:val="TableParagraph"/>
              <w:spacing w:before="8"/>
              <w:ind w:left="100"/>
              <w:jc w:val="left"/>
              <w:rPr>
                <w:sz w:val="18"/>
              </w:rPr>
            </w:pPr>
            <w:r>
              <w:rPr>
                <w:w w:val="105"/>
                <w:sz w:val="18"/>
              </w:rPr>
              <w:t>Ceftriaxone</w:t>
            </w:r>
          </w:p>
        </w:tc>
        <w:tc>
          <w:tcPr>
            <w:tcW w:w="836" w:type="dxa"/>
          </w:tcPr>
          <w:p>
            <w:pPr>
              <w:pStyle w:val="TableParagraph"/>
              <w:spacing w:before="8"/>
              <w:ind w:right="125"/>
              <w:jc w:val="right"/>
              <w:rPr>
                <w:sz w:val="18"/>
              </w:rPr>
            </w:pPr>
            <w:r>
              <w:rPr>
                <w:sz w:val="18"/>
              </w:rPr>
              <w:t>20(65)</w:t>
            </w:r>
          </w:p>
        </w:tc>
        <w:tc>
          <w:tcPr>
            <w:tcW w:w="790" w:type="dxa"/>
          </w:tcPr>
          <w:p>
            <w:pPr>
              <w:pStyle w:val="TableParagraph"/>
              <w:spacing w:before="8"/>
              <w:ind w:right="224"/>
              <w:jc w:val="right"/>
              <w:rPr>
                <w:sz w:val="18"/>
              </w:rPr>
            </w:pPr>
            <w:r>
              <w:rPr>
                <w:sz w:val="18"/>
              </w:rPr>
              <w:t>1(3)</w:t>
            </w:r>
          </w:p>
        </w:tc>
        <w:tc>
          <w:tcPr>
            <w:tcW w:w="791" w:type="dxa"/>
          </w:tcPr>
          <w:p>
            <w:pPr>
              <w:pStyle w:val="TableParagraph"/>
              <w:spacing w:before="8"/>
              <w:ind w:left="107" w:right="107"/>
              <w:rPr>
                <w:sz w:val="18"/>
              </w:rPr>
            </w:pPr>
            <w:r>
              <w:rPr>
                <w:w w:val="105"/>
                <w:sz w:val="18"/>
              </w:rPr>
              <w:t>10(32)</w:t>
            </w:r>
          </w:p>
        </w:tc>
        <w:tc>
          <w:tcPr>
            <w:tcW w:w="862" w:type="dxa"/>
          </w:tcPr>
          <w:p>
            <w:pPr>
              <w:pStyle w:val="TableParagraph"/>
              <w:spacing w:before="8"/>
              <w:ind w:left="106" w:right="108"/>
              <w:rPr>
                <w:sz w:val="18"/>
              </w:rPr>
            </w:pPr>
            <w:r>
              <w:rPr>
                <w:w w:val="105"/>
                <w:sz w:val="18"/>
              </w:rPr>
              <w:t>31(58)</w:t>
            </w:r>
          </w:p>
        </w:tc>
        <w:tc>
          <w:tcPr>
            <w:tcW w:w="790" w:type="dxa"/>
          </w:tcPr>
          <w:p>
            <w:pPr>
              <w:pStyle w:val="TableParagraph"/>
              <w:spacing w:before="8"/>
              <w:ind w:left="104" w:right="107"/>
              <w:rPr>
                <w:sz w:val="18"/>
              </w:rPr>
            </w:pPr>
            <w:r>
              <w:rPr>
                <w:w w:val="105"/>
                <w:sz w:val="18"/>
              </w:rPr>
              <w:t>9(17)</w:t>
            </w:r>
          </w:p>
        </w:tc>
        <w:tc>
          <w:tcPr>
            <w:tcW w:w="808" w:type="dxa"/>
          </w:tcPr>
          <w:p>
            <w:pPr>
              <w:pStyle w:val="TableParagraph"/>
              <w:spacing w:before="8"/>
              <w:ind w:left="106" w:right="125"/>
              <w:rPr>
                <w:sz w:val="18"/>
              </w:rPr>
            </w:pPr>
            <w:r>
              <w:rPr>
                <w:w w:val="105"/>
                <w:sz w:val="18"/>
              </w:rPr>
              <w:t>13(25)</w:t>
            </w:r>
          </w:p>
        </w:tc>
        <w:tc>
          <w:tcPr>
            <w:tcW w:w="844" w:type="dxa"/>
          </w:tcPr>
          <w:p>
            <w:pPr>
              <w:pStyle w:val="TableParagraph"/>
              <w:spacing w:before="8"/>
              <w:ind w:left="124" w:right="144"/>
              <w:rPr>
                <w:sz w:val="18"/>
              </w:rPr>
            </w:pPr>
            <w:r>
              <w:rPr>
                <w:w w:val="105"/>
                <w:sz w:val="18"/>
              </w:rPr>
              <w:t>51(61)</w:t>
            </w:r>
          </w:p>
        </w:tc>
        <w:tc>
          <w:tcPr>
            <w:tcW w:w="875" w:type="dxa"/>
          </w:tcPr>
          <w:p>
            <w:pPr>
              <w:pStyle w:val="TableParagraph"/>
              <w:spacing w:before="8"/>
              <w:ind w:left="162"/>
              <w:jc w:val="left"/>
              <w:rPr>
                <w:sz w:val="18"/>
              </w:rPr>
            </w:pPr>
            <w:r>
              <w:rPr>
                <w:w w:val="105"/>
                <w:sz w:val="18"/>
              </w:rPr>
              <w:t>10(12)</w:t>
            </w:r>
          </w:p>
        </w:tc>
        <w:tc>
          <w:tcPr>
            <w:tcW w:w="917" w:type="dxa"/>
          </w:tcPr>
          <w:p>
            <w:pPr>
              <w:pStyle w:val="TableParagraph"/>
              <w:spacing w:before="8"/>
              <w:ind w:left="156" w:right="185"/>
              <w:rPr>
                <w:sz w:val="18"/>
              </w:rPr>
            </w:pPr>
            <w:r>
              <w:rPr>
                <w:w w:val="105"/>
                <w:sz w:val="18"/>
              </w:rPr>
              <w:t>23(27)</w:t>
            </w:r>
          </w:p>
        </w:tc>
        <w:tc>
          <w:tcPr>
            <w:tcW w:w="790" w:type="dxa"/>
          </w:tcPr>
          <w:p>
            <w:pPr>
              <w:pStyle w:val="TableParagraph"/>
              <w:spacing w:before="8"/>
              <w:ind w:left="88" w:right="107"/>
              <w:rPr>
                <w:sz w:val="18"/>
              </w:rPr>
            </w:pPr>
            <w:r>
              <w:rPr>
                <w:w w:val="105"/>
                <w:sz w:val="18"/>
              </w:rPr>
              <w:t>2.26</w:t>
            </w:r>
          </w:p>
        </w:tc>
      </w:tr>
      <w:tr>
        <w:trPr>
          <w:trHeight w:val="217" w:hRule="atLeast"/>
        </w:trPr>
        <w:tc>
          <w:tcPr>
            <w:tcW w:w="1691" w:type="dxa"/>
          </w:tcPr>
          <w:p>
            <w:pPr>
              <w:pStyle w:val="TableParagraph"/>
              <w:spacing w:line="190" w:lineRule="exact"/>
              <w:ind w:left="100"/>
              <w:jc w:val="left"/>
              <w:rPr>
                <w:sz w:val="18"/>
              </w:rPr>
            </w:pPr>
            <w:r>
              <w:rPr>
                <w:w w:val="105"/>
                <w:sz w:val="18"/>
              </w:rPr>
              <w:t>Ofloxacin</w:t>
            </w:r>
          </w:p>
        </w:tc>
        <w:tc>
          <w:tcPr>
            <w:tcW w:w="836" w:type="dxa"/>
          </w:tcPr>
          <w:p>
            <w:pPr>
              <w:pStyle w:val="TableParagraph"/>
              <w:spacing w:line="190" w:lineRule="exact"/>
              <w:ind w:right="125"/>
              <w:jc w:val="right"/>
              <w:rPr>
                <w:sz w:val="18"/>
              </w:rPr>
            </w:pPr>
            <w:r>
              <w:rPr>
                <w:sz w:val="18"/>
              </w:rPr>
              <w:t>27(87)</w:t>
            </w:r>
          </w:p>
        </w:tc>
        <w:tc>
          <w:tcPr>
            <w:tcW w:w="790" w:type="dxa"/>
          </w:tcPr>
          <w:p>
            <w:pPr>
              <w:pStyle w:val="TableParagraph"/>
              <w:spacing w:line="190" w:lineRule="exact"/>
              <w:ind w:right="224"/>
              <w:jc w:val="right"/>
              <w:rPr>
                <w:sz w:val="18"/>
              </w:rPr>
            </w:pPr>
            <w:r>
              <w:rPr>
                <w:sz w:val="18"/>
              </w:rPr>
              <w:t>2(6)</w:t>
            </w:r>
          </w:p>
        </w:tc>
        <w:tc>
          <w:tcPr>
            <w:tcW w:w="791" w:type="dxa"/>
          </w:tcPr>
          <w:p>
            <w:pPr>
              <w:pStyle w:val="TableParagraph"/>
              <w:spacing w:line="190" w:lineRule="exact"/>
              <w:ind w:left="107" w:right="107"/>
              <w:rPr>
                <w:sz w:val="18"/>
              </w:rPr>
            </w:pPr>
            <w:r>
              <w:rPr>
                <w:w w:val="105"/>
                <w:sz w:val="18"/>
              </w:rPr>
              <w:t>2(6)</w:t>
            </w:r>
          </w:p>
        </w:tc>
        <w:tc>
          <w:tcPr>
            <w:tcW w:w="862" w:type="dxa"/>
          </w:tcPr>
          <w:p>
            <w:pPr>
              <w:pStyle w:val="TableParagraph"/>
              <w:spacing w:line="190" w:lineRule="exact"/>
              <w:ind w:left="106" w:right="108"/>
              <w:rPr>
                <w:sz w:val="18"/>
              </w:rPr>
            </w:pPr>
            <w:r>
              <w:rPr>
                <w:w w:val="105"/>
                <w:sz w:val="18"/>
              </w:rPr>
              <w:t>33(62)</w:t>
            </w:r>
          </w:p>
        </w:tc>
        <w:tc>
          <w:tcPr>
            <w:tcW w:w="790" w:type="dxa"/>
          </w:tcPr>
          <w:p>
            <w:pPr>
              <w:pStyle w:val="TableParagraph"/>
              <w:spacing w:line="190" w:lineRule="exact"/>
              <w:ind w:left="107" w:right="107"/>
              <w:rPr>
                <w:sz w:val="18"/>
              </w:rPr>
            </w:pPr>
            <w:r>
              <w:rPr>
                <w:w w:val="105"/>
                <w:sz w:val="18"/>
              </w:rPr>
              <w:t>13(25)</w:t>
            </w:r>
          </w:p>
        </w:tc>
        <w:tc>
          <w:tcPr>
            <w:tcW w:w="808" w:type="dxa"/>
          </w:tcPr>
          <w:p>
            <w:pPr>
              <w:pStyle w:val="TableParagraph"/>
              <w:spacing w:line="190" w:lineRule="exact"/>
              <w:ind w:left="103" w:right="125"/>
              <w:rPr>
                <w:sz w:val="18"/>
              </w:rPr>
            </w:pPr>
            <w:r>
              <w:rPr>
                <w:w w:val="105"/>
                <w:sz w:val="18"/>
              </w:rPr>
              <w:t>7(13)</w:t>
            </w:r>
          </w:p>
        </w:tc>
        <w:tc>
          <w:tcPr>
            <w:tcW w:w="844" w:type="dxa"/>
          </w:tcPr>
          <w:p>
            <w:pPr>
              <w:pStyle w:val="TableParagraph"/>
              <w:spacing w:line="190" w:lineRule="exact"/>
              <w:ind w:left="124" w:right="144"/>
              <w:rPr>
                <w:sz w:val="18"/>
              </w:rPr>
            </w:pPr>
            <w:r>
              <w:rPr>
                <w:w w:val="105"/>
                <w:sz w:val="18"/>
              </w:rPr>
              <w:t>60(71)</w:t>
            </w:r>
          </w:p>
        </w:tc>
        <w:tc>
          <w:tcPr>
            <w:tcW w:w="875" w:type="dxa"/>
          </w:tcPr>
          <w:p>
            <w:pPr>
              <w:pStyle w:val="TableParagraph"/>
              <w:spacing w:line="190" w:lineRule="exact"/>
              <w:ind w:left="162"/>
              <w:jc w:val="left"/>
              <w:rPr>
                <w:sz w:val="18"/>
              </w:rPr>
            </w:pPr>
            <w:r>
              <w:rPr>
                <w:w w:val="105"/>
                <w:sz w:val="18"/>
              </w:rPr>
              <w:t>15(18)</w:t>
            </w:r>
          </w:p>
        </w:tc>
        <w:tc>
          <w:tcPr>
            <w:tcW w:w="917" w:type="dxa"/>
          </w:tcPr>
          <w:p>
            <w:pPr>
              <w:pStyle w:val="TableParagraph"/>
              <w:spacing w:line="190" w:lineRule="exact"/>
              <w:ind w:left="156" w:right="185"/>
              <w:rPr>
                <w:sz w:val="18"/>
              </w:rPr>
            </w:pPr>
            <w:r>
              <w:rPr>
                <w:w w:val="105"/>
                <w:sz w:val="18"/>
              </w:rPr>
              <w:t>9(11)</w:t>
            </w:r>
          </w:p>
        </w:tc>
        <w:tc>
          <w:tcPr>
            <w:tcW w:w="790" w:type="dxa"/>
          </w:tcPr>
          <w:p>
            <w:pPr>
              <w:pStyle w:val="TableParagraph"/>
              <w:spacing w:line="190" w:lineRule="exact"/>
              <w:ind w:left="88" w:right="107"/>
              <w:rPr>
                <w:sz w:val="18"/>
              </w:rPr>
            </w:pPr>
            <w:r>
              <w:rPr>
                <w:w w:val="105"/>
                <w:sz w:val="18"/>
              </w:rPr>
              <w:t>6.45</w:t>
            </w:r>
          </w:p>
        </w:tc>
      </w:tr>
      <w:tr>
        <w:trPr>
          <w:trHeight w:val="217" w:hRule="atLeast"/>
        </w:trPr>
        <w:tc>
          <w:tcPr>
            <w:tcW w:w="1691" w:type="dxa"/>
          </w:tcPr>
          <w:p>
            <w:pPr>
              <w:pStyle w:val="TableParagraph"/>
              <w:spacing w:before="6"/>
              <w:ind w:left="100"/>
              <w:jc w:val="left"/>
              <w:rPr>
                <w:sz w:val="18"/>
              </w:rPr>
            </w:pPr>
            <w:r>
              <w:rPr>
                <w:w w:val="105"/>
                <w:sz w:val="18"/>
              </w:rPr>
              <w:t>Ciprofloxacin</w:t>
            </w:r>
          </w:p>
        </w:tc>
        <w:tc>
          <w:tcPr>
            <w:tcW w:w="836" w:type="dxa"/>
          </w:tcPr>
          <w:p>
            <w:pPr>
              <w:pStyle w:val="TableParagraph"/>
              <w:spacing w:before="6"/>
              <w:ind w:right="176"/>
              <w:jc w:val="right"/>
              <w:rPr>
                <w:sz w:val="18"/>
              </w:rPr>
            </w:pPr>
            <w:r>
              <w:rPr>
                <w:sz w:val="18"/>
              </w:rPr>
              <w:t>6(19)</w:t>
            </w:r>
          </w:p>
        </w:tc>
        <w:tc>
          <w:tcPr>
            <w:tcW w:w="790" w:type="dxa"/>
          </w:tcPr>
          <w:p>
            <w:pPr>
              <w:pStyle w:val="TableParagraph"/>
              <w:spacing w:before="6"/>
              <w:ind w:right="126"/>
              <w:jc w:val="right"/>
              <w:rPr>
                <w:sz w:val="18"/>
              </w:rPr>
            </w:pPr>
            <w:r>
              <w:rPr>
                <w:sz w:val="18"/>
              </w:rPr>
              <w:t>16(52)</w:t>
            </w:r>
          </w:p>
        </w:tc>
        <w:tc>
          <w:tcPr>
            <w:tcW w:w="791" w:type="dxa"/>
          </w:tcPr>
          <w:p>
            <w:pPr>
              <w:pStyle w:val="TableParagraph"/>
              <w:spacing w:before="6"/>
              <w:ind w:left="107" w:right="107"/>
              <w:rPr>
                <w:sz w:val="18"/>
              </w:rPr>
            </w:pPr>
            <w:r>
              <w:rPr>
                <w:w w:val="105"/>
                <w:sz w:val="18"/>
              </w:rPr>
              <w:t>10(32)</w:t>
            </w:r>
          </w:p>
        </w:tc>
        <w:tc>
          <w:tcPr>
            <w:tcW w:w="862" w:type="dxa"/>
          </w:tcPr>
          <w:p>
            <w:pPr>
              <w:pStyle w:val="TableParagraph"/>
              <w:spacing w:before="6"/>
              <w:ind w:left="106" w:right="108"/>
              <w:rPr>
                <w:sz w:val="18"/>
              </w:rPr>
            </w:pPr>
            <w:r>
              <w:rPr>
                <w:w w:val="105"/>
                <w:sz w:val="18"/>
              </w:rPr>
              <w:t>13(25)</w:t>
            </w:r>
          </w:p>
        </w:tc>
        <w:tc>
          <w:tcPr>
            <w:tcW w:w="790" w:type="dxa"/>
          </w:tcPr>
          <w:p>
            <w:pPr>
              <w:pStyle w:val="TableParagraph"/>
              <w:spacing w:before="6"/>
              <w:ind w:left="107" w:right="107"/>
              <w:rPr>
                <w:sz w:val="18"/>
              </w:rPr>
            </w:pPr>
            <w:r>
              <w:rPr>
                <w:w w:val="105"/>
                <w:sz w:val="18"/>
              </w:rPr>
              <w:t>21(40)</w:t>
            </w:r>
          </w:p>
        </w:tc>
        <w:tc>
          <w:tcPr>
            <w:tcW w:w="808" w:type="dxa"/>
          </w:tcPr>
          <w:p>
            <w:pPr>
              <w:pStyle w:val="TableParagraph"/>
              <w:spacing w:before="6"/>
              <w:ind w:left="106" w:right="125"/>
              <w:rPr>
                <w:sz w:val="18"/>
              </w:rPr>
            </w:pPr>
            <w:r>
              <w:rPr>
                <w:w w:val="105"/>
                <w:sz w:val="18"/>
              </w:rPr>
              <w:t>19(36)</w:t>
            </w:r>
          </w:p>
        </w:tc>
        <w:tc>
          <w:tcPr>
            <w:tcW w:w="844" w:type="dxa"/>
          </w:tcPr>
          <w:p>
            <w:pPr>
              <w:pStyle w:val="TableParagraph"/>
              <w:spacing w:before="6"/>
              <w:ind w:left="124" w:right="144"/>
              <w:rPr>
                <w:sz w:val="18"/>
              </w:rPr>
            </w:pPr>
            <w:r>
              <w:rPr>
                <w:w w:val="105"/>
                <w:sz w:val="18"/>
              </w:rPr>
              <w:t>19(23)</w:t>
            </w:r>
          </w:p>
        </w:tc>
        <w:tc>
          <w:tcPr>
            <w:tcW w:w="875" w:type="dxa"/>
          </w:tcPr>
          <w:p>
            <w:pPr>
              <w:pStyle w:val="TableParagraph"/>
              <w:spacing w:before="6"/>
              <w:ind w:left="162"/>
              <w:jc w:val="left"/>
              <w:rPr>
                <w:sz w:val="18"/>
              </w:rPr>
            </w:pPr>
            <w:r>
              <w:rPr>
                <w:w w:val="105"/>
                <w:sz w:val="18"/>
              </w:rPr>
              <w:t>37(44)</w:t>
            </w:r>
          </w:p>
        </w:tc>
        <w:tc>
          <w:tcPr>
            <w:tcW w:w="917" w:type="dxa"/>
          </w:tcPr>
          <w:p>
            <w:pPr>
              <w:pStyle w:val="TableParagraph"/>
              <w:spacing w:before="6"/>
              <w:ind w:left="156" w:right="185"/>
              <w:rPr>
                <w:sz w:val="18"/>
              </w:rPr>
            </w:pPr>
            <w:r>
              <w:rPr>
                <w:w w:val="105"/>
                <w:sz w:val="18"/>
              </w:rPr>
              <w:t>29(35)</w:t>
            </w:r>
          </w:p>
        </w:tc>
        <w:tc>
          <w:tcPr>
            <w:tcW w:w="790" w:type="dxa"/>
          </w:tcPr>
          <w:p>
            <w:pPr>
              <w:pStyle w:val="TableParagraph"/>
              <w:spacing w:before="6"/>
              <w:ind w:left="88" w:right="107"/>
              <w:rPr>
                <w:sz w:val="18"/>
              </w:rPr>
            </w:pPr>
            <w:r>
              <w:rPr>
                <w:w w:val="105"/>
                <w:sz w:val="18"/>
              </w:rPr>
              <w:t>0.66</w:t>
            </w:r>
          </w:p>
        </w:tc>
      </w:tr>
      <w:tr>
        <w:trPr>
          <w:trHeight w:val="217" w:hRule="atLeast"/>
        </w:trPr>
        <w:tc>
          <w:tcPr>
            <w:tcW w:w="1691" w:type="dxa"/>
          </w:tcPr>
          <w:p>
            <w:pPr>
              <w:pStyle w:val="TableParagraph"/>
              <w:ind w:left="100"/>
              <w:jc w:val="left"/>
              <w:rPr>
                <w:sz w:val="18"/>
              </w:rPr>
            </w:pPr>
            <w:r>
              <w:rPr>
                <w:w w:val="105"/>
                <w:sz w:val="18"/>
              </w:rPr>
              <w:t>Nalidixic Acid</w:t>
            </w:r>
          </w:p>
        </w:tc>
        <w:tc>
          <w:tcPr>
            <w:tcW w:w="836" w:type="dxa"/>
          </w:tcPr>
          <w:p>
            <w:pPr>
              <w:pStyle w:val="TableParagraph"/>
              <w:ind w:right="125"/>
              <w:jc w:val="right"/>
              <w:rPr>
                <w:sz w:val="18"/>
              </w:rPr>
            </w:pPr>
            <w:r>
              <w:rPr>
                <w:sz w:val="18"/>
              </w:rPr>
              <w:t>11(35)</w:t>
            </w:r>
          </w:p>
        </w:tc>
        <w:tc>
          <w:tcPr>
            <w:tcW w:w="790" w:type="dxa"/>
          </w:tcPr>
          <w:p>
            <w:pPr>
              <w:pStyle w:val="TableParagraph"/>
              <w:ind w:right="176"/>
              <w:jc w:val="right"/>
              <w:rPr>
                <w:sz w:val="18"/>
              </w:rPr>
            </w:pPr>
            <w:r>
              <w:rPr>
                <w:sz w:val="18"/>
              </w:rPr>
              <w:t>4(13)</w:t>
            </w:r>
          </w:p>
        </w:tc>
        <w:tc>
          <w:tcPr>
            <w:tcW w:w="791" w:type="dxa"/>
          </w:tcPr>
          <w:p>
            <w:pPr>
              <w:pStyle w:val="TableParagraph"/>
              <w:ind w:left="107" w:right="107"/>
              <w:rPr>
                <w:sz w:val="18"/>
              </w:rPr>
            </w:pPr>
            <w:r>
              <w:rPr>
                <w:w w:val="105"/>
                <w:sz w:val="18"/>
              </w:rPr>
              <w:t>16(52)</w:t>
            </w:r>
          </w:p>
        </w:tc>
        <w:tc>
          <w:tcPr>
            <w:tcW w:w="862" w:type="dxa"/>
          </w:tcPr>
          <w:p>
            <w:pPr>
              <w:pStyle w:val="TableParagraph"/>
              <w:ind w:left="106" w:right="108"/>
              <w:rPr>
                <w:sz w:val="18"/>
              </w:rPr>
            </w:pPr>
            <w:r>
              <w:rPr>
                <w:w w:val="105"/>
                <w:sz w:val="18"/>
              </w:rPr>
              <w:t>17(32)</w:t>
            </w:r>
          </w:p>
        </w:tc>
        <w:tc>
          <w:tcPr>
            <w:tcW w:w="790" w:type="dxa"/>
          </w:tcPr>
          <w:p>
            <w:pPr>
              <w:pStyle w:val="TableParagraph"/>
              <w:ind w:left="107" w:right="107"/>
              <w:rPr>
                <w:sz w:val="18"/>
              </w:rPr>
            </w:pPr>
            <w:r>
              <w:rPr>
                <w:w w:val="105"/>
                <w:sz w:val="18"/>
              </w:rPr>
              <w:t>13(25)</w:t>
            </w:r>
          </w:p>
        </w:tc>
        <w:tc>
          <w:tcPr>
            <w:tcW w:w="808" w:type="dxa"/>
          </w:tcPr>
          <w:p>
            <w:pPr>
              <w:pStyle w:val="TableParagraph"/>
              <w:ind w:left="106" w:right="125"/>
              <w:rPr>
                <w:sz w:val="18"/>
              </w:rPr>
            </w:pPr>
            <w:r>
              <w:rPr>
                <w:w w:val="105"/>
                <w:sz w:val="18"/>
              </w:rPr>
              <w:t>23(43)</w:t>
            </w:r>
          </w:p>
        </w:tc>
        <w:tc>
          <w:tcPr>
            <w:tcW w:w="844" w:type="dxa"/>
          </w:tcPr>
          <w:p>
            <w:pPr>
              <w:pStyle w:val="TableParagraph"/>
              <w:ind w:left="124" w:right="144"/>
              <w:rPr>
                <w:sz w:val="18"/>
              </w:rPr>
            </w:pPr>
            <w:r>
              <w:rPr>
                <w:w w:val="105"/>
                <w:sz w:val="18"/>
              </w:rPr>
              <w:t>28(33)</w:t>
            </w:r>
          </w:p>
        </w:tc>
        <w:tc>
          <w:tcPr>
            <w:tcW w:w="875" w:type="dxa"/>
          </w:tcPr>
          <w:p>
            <w:pPr>
              <w:pStyle w:val="TableParagraph"/>
              <w:ind w:left="162"/>
              <w:jc w:val="left"/>
              <w:rPr>
                <w:sz w:val="18"/>
              </w:rPr>
            </w:pPr>
            <w:r>
              <w:rPr>
                <w:w w:val="105"/>
                <w:sz w:val="18"/>
              </w:rPr>
              <w:t>17(20)</w:t>
            </w:r>
          </w:p>
        </w:tc>
        <w:tc>
          <w:tcPr>
            <w:tcW w:w="917" w:type="dxa"/>
          </w:tcPr>
          <w:p>
            <w:pPr>
              <w:pStyle w:val="TableParagraph"/>
              <w:ind w:left="156" w:right="185"/>
              <w:rPr>
                <w:sz w:val="18"/>
              </w:rPr>
            </w:pPr>
            <w:r>
              <w:rPr>
                <w:w w:val="105"/>
                <w:sz w:val="18"/>
              </w:rPr>
              <w:t>39(46)</w:t>
            </w:r>
          </w:p>
        </w:tc>
        <w:tc>
          <w:tcPr>
            <w:tcW w:w="790" w:type="dxa"/>
          </w:tcPr>
          <w:p>
            <w:pPr>
              <w:pStyle w:val="TableParagraph"/>
              <w:ind w:left="88" w:right="107"/>
              <w:rPr>
                <w:sz w:val="18"/>
              </w:rPr>
            </w:pPr>
            <w:r>
              <w:rPr>
                <w:w w:val="105"/>
                <w:sz w:val="18"/>
              </w:rPr>
              <w:t>0.72</w:t>
            </w:r>
          </w:p>
        </w:tc>
      </w:tr>
    </w:tbl>
    <w:p>
      <w:pPr>
        <w:pStyle w:val="BodyText"/>
        <w:spacing w:before="4"/>
        <w:rPr>
          <w:b/>
          <w:sz w:val="16"/>
        </w:rPr>
      </w:pPr>
      <w:r>
        <w:rPr/>
        <w:pict>
          <v:group style="position:absolute;margin-left:55.200001pt;margin-top:11.47972pt;width:500.3pt;height:.5pt;mso-position-horizontal-relative:page;mso-position-vertical-relative:paragraph;z-index:-251648000;mso-wrap-distance-left:0;mso-wrap-distance-right:0" coordorigin="1104,230" coordsize="10006,10">
            <v:line style="position:absolute" from="1104,234" to="2856,234" stroked="true" strokeweight=".48pt" strokecolor="#000000">
              <v:stroke dashstyle="solid"/>
            </v:line>
            <v:rect style="position:absolute;left:2841;top:229;width:10;height:10" filled="true" fillcolor="#000000" stroked="false">
              <v:fill type="solid"/>
            </v:rect>
            <v:line style="position:absolute" from="2851,234" to="3646,234" stroked="true" strokeweight=".48pt" strokecolor="#000000">
              <v:stroke dashstyle="solid"/>
            </v:line>
            <v:rect style="position:absolute;left:3631;top:229;width:10;height:10" filled="true" fillcolor="#000000" stroked="false">
              <v:fill type="solid"/>
            </v:rect>
            <v:line style="position:absolute" from="3641,234" to="4435,234" stroked="true" strokeweight=".48pt" strokecolor="#000000">
              <v:stroke dashstyle="solid"/>
            </v:line>
            <v:rect style="position:absolute;left:4420;top:229;width:10;height:10" filled="true" fillcolor="#000000" stroked="false">
              <v:fill type="solid"/>
            </v:rect>
            <v:line style="position:absolute" from="4430,234" to="5225,234" stroked="true" strokeweight=".48pt" strokecolor="#000000">
              <v:stroke dashstyle="solid"/>
            </v:line>
            <v:rect style="position:absolute;left:5210;top:229;width:10;height:10" filled="true" fillcolor="#000000" stroked="false">
              <v:fill type="solid"/>
            </v:rect>
            <v:line style="position:absolute" from="5220,234" to="6086,234" stroked="true" strokeweight=".48pt" strokecolor="#000000">
              <v:stroke dashstyle="solid"/>
            </v:line>
            <v:rect style="position:absolute;left:6072;top:229;width:10;height:10" filled="true" fillcolor="#000000" stroked="false">
              <v:fill type="solid"/>
            </v:rect>
            <v:line style="position:absolute" from="6082,234" to="6876,234" stroked="true" strokeweight=".48pt" strokecolor="#000000">
              <v:stroke dashstyle="solid"/>
            </v:line>
            <v:rect style="position:absolute;left:6861;top:229;width:10;height:10" filled="true" fillcolor="#000000" stroked="false">
              <v:fill type="solid"/>
            </v:rect>
            <v:line style="position:absolute" from="6871,234" to="7666,234" stroked="true" strokeweight=".48pt" strokecolor="#000000">
              <v:stroke dashstyle="solid"/>
            </v:line>
            <v:rect style="position:absolute;left:7651;top:229;width:10;height:10" filled="true" fillcolor="#000000" stroked="false">
              <v:fill type="solid"/>
            </v:rect>
            <v:line style="position:absolute" from="7661,234" to="8527,234" stroked="true" strokeweight=".48pt" strokecolor="#000000">
              <v:stroke dashstyle="solid"/>
            </v:line>
            <v:rect style="position:absolute;left:8512;top:229;width:10;height:10" filled="true" fillcolor="#000000" stroked="false">
              <v:fill type="solid"/>
            </v:rect>
            <v:line style="position:absolute" from="8522,234" to="9389,234" stroked="true" strokeweight=".48pt" strokecolor="#000000">
              <v:stroke dashstyle="solid"/>
            </v:line>
            <v:rect style="position:absolute;left:9374;top:229;width:10;height:10" filled="true" fillcolor="#000000" stroked="false">
              <v:fill type="solid"/>
            </v:rect>
            <v:line style="position:absolute" from="9384,234" to="10306,234" stroked="true" strokeweight=".48pt" strokecolor="#000000">
              <v:stroke dashstyle="solid"/>
            </v:line>
            <v:rect style="position:absolute;left:10291;top:229;width:10;height:10" filled="true" fillcolor="#000000" stroked="false">
              <v:fill type="solid"/>
            </v:rect>
            <v:line style="position:absolute" from="10301,234" to="11110,234" stroked="true" strokeweight=".48pt" strokecolor="#000000">
              <v:stroke dashstyle="solid"/>
            </v:line>
            <w10:wrap type="topAndBottom"/>
          </v:group>
        </w:pict>
      </w:r>
    </w:p>
    <w:p>
      <w:pPr>
        <w:pStyle w:val="BodyText"/>
        <w:ind w:left="871"/>
      </w:pPr>
      <w:r>
        <w:rPr>
          <w:w w:val="105"/>
        </w:rPr>
        <w:t>KEY</w:t>
      </w:r>
    </w:p>
    <w:p>
      <w:pPr>
        <w:pStyle w:val="BodyText"/>
        <w:spacing w:before="9"/>
        <w:ind w:left="871"/>
      </w:pPr>
      <w:r>
        <w:rPr>
          <w:w w:val="105"/>
        </w:rPr>
        <w:t>S= Susceptible</w:t>
      </w:r>
    </w:p>
    <w:p>
      <w:pPr>
        <w:pStyle w:val="BodyText"/>
        <w:spacing w:line="249" w:lineRule="auto" w:before="9"/>
        <w:ind w:left="871" w:right="6595"/>
      </w:pPr>
      <w:r>
        <w:rPr>
          <w:w w:val="105"/>
        </w:rPr>
        <w:t>I = Intermediate Susceptibility R= Resistant</w:t>
      </w:r>
    </w:p>
    <w:p>
      <w:pPr>
        <w:pStyle w:val="BodyText"/>
        <w:spacing w:before="3"/>
        <w:ind w:left="871"/>
      </w:pPr>
      <w:r>
        <w:rPr>
          <w:w w:val="105"/>
        </w:rPr>
        <w:t>SI = Susceptibility index</w:t>
      </w:r>
    </w:p>
    <w:p>
      <w:pPr>
        <w:pStyle w:val="BodyText"/>
        <w:rPr>
          <w:sz w:val="22"/>
        </w:rPr>
      </w:pPr>
    </w:p>
    <w:p>
      <w:pPr>
        <w:spacing w:before="190" w:after="13"/>
        <w:ind w:left="1190" w:right="1184" w:firstLine="0"/>
        <w:jc w:val="center"/>
        <w:rPr>
          <w:b/>
          <w:sz w:val="18"/>
        </w:rPr>
      </w:pPr>
      <w:r>
        <w:rPr>
          <w:b/>
          <w:w w:val="105"/>
          <w:sz w:val="18"/>
        </w:rPr>
        <w:t>Table 4: Plasm</w:t>
      </w:r>
      <w:r>
        <w:rPr>
          <w:b/>
          <w:w w:val="105"/>
          <w:sz w:val="18"/>
          <w:u w:val="single"/>
        </w:rPr>
        <w:t>id Carriage Profiles of </w:t>
      </w:r>
      <w:r>
        <w:rPr>
          <w:b/>
          <w:i/>
          <w:w w:val="105"/>
          <w:sz w:val="18"/>
          <w:u w:val="single"/>
        </w:rPr>
        <w:t>Salmonella </w:t>
      </w:r>
      <w:r>
        <w:rPr>
          <w:b/>
          <w:w w:val="105"/>
          <w:sz w:val="18"/>
          <w:u w:val="single"/>
        </w:rPr>
        <w:t>ser</w:t>
      </w:r>
      <w:r>
        <w:rPr>
          <w:b/>
          <w:i/>
          <w:w w:val="105"/>
          <w:sz w:val="18"/>
          <w:u w:val="single"/>
        </w:rPr>
        <w:t>. Typhi </w:t>
      </w:r>
      <w:r>
        <w:rPr>
          <w:b/>
          <w:w w:val="105"/>
          <w:sz w:val="18"/>
          <w:u w:val="single"/>
        </w:rPr>
        <w:t>isolated from</w:t>
      </w:r>
      <w:r>
        <w:rPr>
          <w:b/>
          <w:w w:val="105"/>
          <w:sz w:val="18"/>
        </w:rPr>
        <w:t> the study Area</w:t>
      </w:r>
    </w:p>
    <w:tbl>
      <w:tblPr>
        <w:tblW w:w="0" w:type="auto"/>
        <w:jc w:val="left"/>
        <w:tblInd w:w="2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1"/>
        <w:gridCol w:w="1121"/>
        <w:gridCol w:w="1233"/>
        <w:gridCol w:w="1259"/>
      </w:tblGrid>
      <w:tr>
        <w:trPr>
          <w:trHeight w:val="441" w:hRule="atLeast"/>
        </w:trPr>
        <w:tc>
          <w:tcPr>
            <w:tcW w:w="1601" w:type="dxa"/>
            <w:tcBorders>
              <w:bottom w:val="single" w:sz="4" w:space="0" w:color="000000"/>
            </w:tcBorders>
          </w:tcPr>
          <w:p>
            <w:pPr>
              <w:pStyle w:val="TableParagraph"/>
              <w:spacing w:line="218" w:lineRule="exact" w:before="1"/>
              <w:ind w:left="109"/>
              <w:jc w:val="left"/>
              <w:rPr>
                <w:b/>
                <w:sz w:val="18"/>
              </w:rPr>
            </w:pPr>
            <w:r>
              <w:rPr>
                <w:b/>
                <w:w w:val="105"/>
                <w:sz w:val="18"/>
              </w:rPr>
              <w:t>Cure Resistant Profile</w:t>
            </w:r>
          </w:p>
        </w:tc>
        <w:tc>
          <w:tcPr>
            <w:tcW w:w="1121" w:type="dxa"/>
            <w:tcBorders>
              <w:bottom w:val="single" w:sz="4" w:space="0" w:color="000000"/>
            </w:tcBorders>
          </w:tcPr>
          <w:p>
            <w:pPr>
              <w:pStyle w:val="TableParagraph"/>
              <w:spacing w:line="240" w:lineRule="auto"/>
              <w:ind w:left="198" w:right="286"/>
              <w:rPr>
                <w:b/>
                <w:sz w:val="18"/>
              </w:rPr>
            </w:pPr>
            <w:r>
              <w:rPr>
                <w:b/>
                <w:w w:val="105"/>
                <w:sz w:val="18"/>
              </w:rPr>
              <w:t>Yola</w:t>
            </w:r>
          </w:p>
        </w:tc>
        <w:tc>
          <w:tcPr>
            <w:tcW w:w="1233" w:type="dxa"/>
            <w:tcBorders>
              <w:bottom w:val="single" w:sz="4" w:space="0" w:color="000000"/>
            </w:tcBorders>
          </w:tcPr>
          <w:p>
            <w:pPr>
              <w:pStyle w:val="TableParagraph"/>
              <w:spacing w:line="240" w:lineRule="auto"/>
              <w:ind w:left="284" w:right="312"/>
              <w:rPr>
                <w:b/>
                <w:sz w:val="18"/>
              </w:rPr>
            </w:pPr>
            <w:r>
              <w:rPr>
                <w:b/>
                <w:w w:val="105"/>
                <w:sz w:val="18"/>
              </w:rPr>
              <w:t>Gombi</w:t>
            </w:r>
          </w:p>
        </w:tc>
        <w:tc>
          <w:tcPr>
            <w:tcW w:w="1259" w:type="dxa"/>
            <w:tcBorders>
              <w:bottom w:val="single" w:sz="4" w:space="0" w:color="000000"/>
            </w:tcBorders>
          </w:tcPr>
          <w:p>
            <w:pPr>
              <w:pStyle w:val="TableParagraph"/>
              <w:spacing w:line="240" w:lineRule="auto"/>
              <w:ind w:left="312" w:right="313"/>
              <w:rPr>
                <w:b/>
                <w:sz w:val="18"/>
              </w:rPr>
            </w:pPr>
            <w:r>
              <w:rPr>
                <w:b/>
                <w:w w:val="105"/>
                <w:sz w:val="18"/>
              </w:rPr>
              <w:t>Total</w:t>
            </w:r>
          </w:p>
        </w:tc>
      </w:tr>
      <w:tr>
        <w:trPr>
          <w:trHeight w:val="212" w:hRule="atLeast"/>
        </w:trPr>
        <w:tc>
          <w:tcPr>
            <w:tcW w:w="1601" w:type="dxa"/>
            <w:tcBorders>
              <w:top w:val="single" w:sz="4" w:space="0" w:color="000000"/>
            </w:tcBorders>
          </w:tcPr>
          <w:p>
            <w:pPr>
              <w:pStyle w:val="TableParagraph"/>
              <w:spacing w:line="190" w:lineRule="exact" w:before="0"/>
              <w:ind w:left="109"/>
              <w:jc w:val="left"/>
              <w:rPr>
                <w:sz w:val="18"/>
              </w:rPr>
            </w:pPr>
            <w:r>
              <w:rPr>
                <w:w w:val="105"/>
                <w:sz w:val="18"/>
              </w:rPr>
              <w:t>AmpCCo</w:t>
            </w:r>
          </w:p>
        </w:tc>
        <w:tc>
          <w:tcPr>
            <w:tcW w:w="1121" w:type="dxa"/>
            <w:tcBorders>
              <w:top w:val="single" w:sz="4" w:space="0" w:color="000000"/>
            </w:tcBorders>
          </w:tcPr>
          <w:p>
            <w:pPr>
              <w:pStyle w:val="TableParagraph"/>
              <w:spacing w:line="190" w:lineRule="exact" w:before="0"/>
              <w:ind w:left="201" w:right="284"/>
              <w:rPr>
                <w:sz w:val="18"/>
              </w:rPr>
            </w:pPr>
            <w:r>
              <w:rPr>
                <w:w w:val="105"/>
                <w:sz w:val="18"/>
              </w:rPr>
              <w:t>9 (17)</w:t>
            </w:r>
          </w:p>
        </w:tc>
        <w:tc>
          <w:tcPr>
            <w:tcW w:w="1233" w:type="dxa"/>
            <w:tcBorders>
              <w:top w:val="single" w:sz="4" w:space="0" w:color="000000"/>
            </w:tcBorders>
          </w:tcPr>
          <w:p>
            <w:pPr>
              <w:pStyle w:val="TableParagraph"/>
              <w:spacing w:line="190" w:lineRule="exact" w:before="0"/>
              <w:ind w:left="287" w:right="312"/>
              <w:rPr>
                <w:sz w:val="18"/>
              </w:rPr>
            </w:pPr>
            <w:r>
              <w:rPr>
                <w:w w:val="105"/>
                <w:sz w:val="18"/>
              </w:rPr>
              <w:t>11 (35)</w:t>
            </w:r>
          </w:p>
        </w:tc>
        <w:tc>
          <w:tcPr>
            <w:tcW w:w="1259" w:type="dxa"/>
            <w:tcBorders>
              <w:top w:val="single" w:sz="4" w:space="0" w:color="000000"/>
            </w:tcBorders>
          </w:tcPr>
          <w:p>
            <w:pPr>
              <w:pStyle w:val="TableParagraph"/>
              <w:spacing w:line="190" w:lineRule="exact" w:before="0"/>
              <w:ind w:left="312" w:right="314"/>
              <w:rPr>
                <w:sz w:val="18"/>
              </w:rPr>
            </w:pPr>
            <w:r>
              <w:rPr>
                <w:w w:val="105"/>
                <w:sz w:val="18"/>
              </w:rPr>
              <w:t>20 (24)</w:t>
            </w:r>
          </w:p>
        </w:tc>
      </w:tr>
      <w:tr>
        <w:trPr>
          <w:trHeight w:val="217" w:hRule="atLeast"/>
        </w:trPr>
        <w:tc>
          <w:tcPr>
            <w:tcW w:w="1601" w:type="dxa"/>
          </w:tcPr>
          <w:p>
            <w:pPr>
              <w:pStyle w:val="TableParagraph"/>
              <w:spacing w:line="190" w:lineRule="exact"/>
              <w:ind w:left="109"/>
              <w:jc w:val="left"/>
              <w:rPr>
                <w:sz w:val="18"/>
              </w:rPr>
            </w:pPr>
            <w:r>
              <w:rPr>
                <w:w w:val="105"/>
                <w:sz w:val="18"/>
              </w:rPr>
              <w:t>AmpCTet</w:t>
            </w:r>
          </w:p>
        </w:tc>
        <w:tc>
          <w:tcPr>
            <w:tcW w:w="1121" w:type="dxa"/>
          </w:tcPr>
          <w:p>
            <w:pPr>
              <w:pStyle w:val="TableParagraph"/>
              <w:spacing w:line="190" w:lineRule="exact"/>
              <w:ind w:left="201" w:right="286"/>
              <w:rPr>
                <w:sz w:val="18"/>
              </w:rPr>
            </w:pPr>
            <w:r>
              <w:rPr>
                <w:w w:val="105"/>
                <w:sz w:val="18"/>
              </w:rPr>
              <w:t>5 (9)</w:t>
            </w:r>
          </w:p>
        </w:tc>
        <w:tc>
          <w:tcPr>
            <w:tcW w:w="1233" w:type="dxa"/>
          </w:tcPr>
          <w:p>
            <w:pPr>
              <w:pStyle w:val="TableParagraph"/>
              <w:spacing w:line="190" w:lineRule="exact"/>
              <w:ind w:left="287" w:right="310"/>
              <w:rPr>
                <w:sz w:val="18"/>
              </w:rPr>
            </w:pPr>
            <w:r>
              <w:rPr>
                <w:w w:val="105"/>
                <w:sz w:val="18"/>
              </w:rPr>
              <w:t>0(0)</w:t>
            </w:r>
          </w:p>
        </w:tc>
        <w:tc>
          <w:tcPr>
            <w:tcW w:w="1259" w:type="dxa"/>
          </w:tcPr>
          <w:p>
            <w:pPr>
              <w:pStyle w:val="TableParagraph"/>
              <w:spacing w:line="190" w:lineRule="exact"/>
              <w:ind w:left="310" w:right="314"/>
              <w:rPr>
                <w:sz w:val="18"/>
              </w:rPr>
            </w:pPr>
            <w:r>
              <w:rPr>
                <w:w w:val="105"/>
                <w:sz w:val="18"/>
              </w:rPr>
              <w:t>5 (6)</w:t>
            </w:r>
          </w:p>
        </w:tc>
      </w:tr>
      <w:tr>
        <w:trPr>
          <w:trHeight w:val="217" w:hRule="atLeast"/>
        </w:trPr>
        <w:tc>
          <w:tcPr>
            <w:tcW w:w="1601" w:type="dxa"/>
          </w:tcPr>
          <w:p>
            <w:pPr>
              <w:pStyle w:val="TableParagraph"/>
              <w:spacing w:before="6"/>
              <w:ind w:left="109"/>
              <w:jc w:val="left"/>
              <w:rPr>
                <w:sz w:val="18"/>
              </w:rPr>
            </w:pPr>
            <w:r>
              <w:rPr>
                <w:w w:val="105"/>
                <w:sz w:val="18"/>
              </w:rPr>
              <w:t>AmpCCoCtx</w:t>
            </w:r>
          </w:p>
        </w:tc>
        <w:tc>
          <w:tcPr>
            <w:tcW w:w="1121" w:type="dxa"/>
          </w:tcPr>
          <w:p>
            <w:pPr>
              <w:pStyle w:val="TableParagraph"/>
              <w:spacing w:before="6"/>
              <w:ind w:left="201" w:right="286"/>
              <w:rPr>
                <w:sz w:val="18"/>
              </w:rPr>
            </w:pPr>
            <w:r>
              <w:rPr>
                <w:w w:val="105"/>
                <w:sz w:val="18"/>
              </w:rPr>
              <w:t>1 (2)</w:t>
            </w:r>
          </w:p>
        </w:tc>
        <w:tc>
          <w:tcPr>
            <w:tcW w:w="1233" w:type="dxa"/>
          </w:tcPr>
          <w:p>
            <w:pPr>
              <w:pStyle w:val="TableParagraph"/>
              <w:spacing w:before="6"/>
              <w:ind w:left="287" w:right="310"/>
              <w:rPr>
                <w:sz w:val="18"/>
              </w:rPr>
            </w:pPr>
            <w:r>
              <w:rPr>
                <w:w w:val="105"/>
                <w:sz w:val="18"/>
              </w:rPr>
              <w:t>0(0)</w:t>
            </w:r>
          </w:p>
        </w:tc>
        <w:tc>
          <w:tcPr>
            <w:tcW w:w="1259" w:type="dxa"/>
          </w:tcPr>
          <w:p>
            <w:pPr>
              <w:pStyle w:val="TableParagraph"/>
              <w:spacing w:before="6"/>
              <w:ind w:left="310" w:right="314"/>
              <w:rPr>
                <w:sz w:val="18"/>
              </w:rPr>
            </w:pPr>
            <w:r>
              <w:rPr>
                <w:w w:val="105"/>
                <w:sz w:val="18"/>
              </w:rPr>
              <w:t>1 (1)</w:t>
            </w:r>
          </w:p>
        </w:tc>
      </w:tr>
      <w:tr>
        <w:trPr>
          <w:trHeight w:val="219" w:hRule="atLeast"/>
        </w:trPr>
        <w:tc>
          <w:tcPr>
            <w:tcW w:w="1601" w:type="dxa"/>
          </w:tcPr>
          <w:p>
            <w:pPr>
              <w:pStyle w:val="TableParagraph"/>
              <w:spacing w:line="192" w:lineRule="exact"/>
              <w:ind w:left="109"/>
              <w:jc w:val="left"/>
              <w:rPr>
                <w:sz w:val="18"/>
              </w:rPr>
            </w:pPr>
            <w:r>
              <w:rPr>
                <w:w w:val="105"/>
                <w:sz w:val="18"/>
              </w:rPr>
              <w:t>CoTet</w:t>
            </w:r>
          </w:p>
        </w:tc>
        <w:tc>
          <w:tcPr>
            <w:tcW w:w="1121" w:type="dxa"/>
          </w:tcPr>
          <w:p>
            <w:pPr>
              <w:pStyle w:val="TableParagraph"/>
              <w:spacing w:line="192" w:lineRule="exact"/>
              <w:ind w:left="201" w:right="286"/>
              <w:rPr>
                <w:sz w:val="18"/>
              </w:rPr>
            </w:pPr>
            <w:r>
              <w:rPr>
                <w:w w:val="105"/>
                <w:sz w:val="18"/>
              </w:rPr>
              <w:t>2 (4)</w:t>
            </w:r>
          </w:p>
        </w:tc>
        <w:tc>
          <w:tcPr>
            <w:tcW w:w="1233" w:type="dxa"/>
          </w:tcPr>
          <w:p>
            <w:pPr>
              <w:pStyle w:val="TableParagraph"/>
              <w:spacing w:line="192" w:lineRule="exact"/>
              <w:ind w:left="287" w:right="310"/>
              <w:rPr>
                <w:sz w:val="18"/>
              </w:rPr>
            </w:pPr>
            <w:r>
              <w:rPr>
                <w:w w:val="105"/>
                <w:sz w:val="18"/>
              </w:rPr>
              <w:t>0(0)</w:t>
            </w:r>
          </w:p>
        </w:tc>
        <w:tc>
          <w:tcPr>
            <w:tcW w:w="1259" w:type="dxa"/>
          </w:tcPr>
          <w:p>
            <w:pPr>
              <w:pStyle w:val="TableParagraph"/>
              <w:spacing w:line="192" w:lineRule="exact"/>
              <w:ind w:left="310" w:right="314"/>
              <w:rPr>
                <w:sz w:val="18"/>
              </w:rPr>
            </w:pPr>
            <w:r>
              <w:rPr>
                <w:w w:val="105"/>
                <w:sz w:val="18"/>
              </w:rPr>
              <w:t>2 (2)</w:t>
            </w:r>
          </w:p>
        </w:tc>
      </w:tr>
      <w:tr>
        <w:trPr>
          <w:trHeight w:val="219" w:hRule="atLeast"/>
        </w:trPr>
        <w:tc>
          <w:tcPr>
            <w:tcW w:w="1601" w:type="dxa"/>
          </w:tcPr>
          <w:p>
            <w:pPr>
              <w:pStyle w:val="TableParagraph"/>
              <w:spacing w:before="8"/>
              <w:ind w:left="109"/>
              <w:jc w:val="left"/>
              <w:rPr>
                <w:sz w:val="18"/>
              </w:rPr>
            </w:pPr>
            <w:r>
              <w:rPr>
                <w:w w:val="105"/>
                <w:sz w:val="18"/>
              </w:rPr>
              <w:t>Ctx</w:t>
            </w:r>
          </w:p>
        </w:tc>
        <w:tc>
          <w:tcPr>
            <w:tcW w:w="1121" w:type="dxa"/>
          </w:tcPr>
          <w:p>
            <w:pPr>
              <w:pStyle w:val="TableParagraph"/>
              <w:spacing w:before="8"/>
              <w:ind w:left="201" w:right="284"/>
              <w:rPr>
                <w:sz w:val="18"/>
              </w:rPr>
            </w:pPr>
            <w:r>
              <w:rPr>
                <w:w w:val="105"/>
                <w:sz w:val="18"/>
              </w:rPr>
              <w:t>6 (11)</w:t>
            </w:r>
          </w:p>
        </w:tc>
        <w:tc>
          <w:tcPr>
            <w:tcW w:w="1233" w:type="dxa"/>
          </w:tcPr>
          <w:p>
            <w:pPr>
              <w:pStyle w:val="TableParagraph"/>
              <w:spacing w:before="8"/>
              <w:ind w:left="287" w:right="312"/>
              <w:rPr>
                <w:sz w:val="18"/>
              </w:rPr>
            </w:pPr>
            <w:r>
              <w:rPr>
                <w:w w:val="105"/>
                <w:sz w:val="18"/>
              </w:rPr>
              <w:t>4 (13)</w:t>
            </w:r>
          </w:p>
        </w:tc>
        <w:tc>
          <w:tcPr>
            <w:tcW w:w="1259" w:type="dxa"/>
          </w:tcPr>
          <w:p>
            <w:pPr>
              <w:pStyle w:val="TableParagraph"/>
              <w:spacing w:before="8"/>
              <w:ind w:left="312" w:right="314"/>
              <w:rPr>
                <w:sz w:val="18"/>
              </w:rPr>
            </w:pPr>
            <w:r>
              <w:rPr>
                <w:w w:val="105"/>
                <w:sz w:val="18"/>
              </w:rPr>
              <w:t>10 (12)</w:t>
            </w:r>
          </w:p>
        </w:tc>
      </w:tr>
      <w:tr>
        <w:trPr>
          <w:trHeight w:val="217" w:hRule="atLeast"/>
        </w:trPr>
        <w:tc>
          <w:tcPr>
            <w:tcW w:w="1601" w:type="dxa"/>
          </w:tcPr>
          <w:p>
            <w:pPr>
              <w:pStyle w:val="TableParagraph"/>
              <w:spacing w:line="190" w:lineRule="exact"/>
              <w:ind w:left="109"/>
              <w:jc w:val="left"/>
              <w:rPr>
                <w:sz w:val="18"/>
              </w:rPr>
            </w:pPr>
            <w:r>
              <w:rPr>
                <w:w w:val="105"/>
                <w:sz w:val="18"/>
              </w:rPr>
              <w:t>AmpCTet</w:t>
            </w:r>
          </w:p>
        </w:tc>
        <w:tc>
          <w:tcPr>
            <w:tcW w:w="1121" w:type="dxa"/>
          </w:tcPr>
          <w:p>
            <w:pPr>
              <w:pStyle w:val="TableParagraph"/>
              <w:spacing w:line="190" w:lineRule="exact"/>
              <w:ind w:left="201" w:right="286"/>
              <w:rPr>
                <w:sz w:val="18"/>
              </w:rPr>
            </w:pPr>
            <w:r>
              <w:rPr>
                <w:w w:val="105"/>
                <w:sz w:val="18"/>
              </w:rPr>
              <w:t>1 (2)</w:t>
            </w:r>
          </w:p>
        </w:tc>
        <w:tc>
          <w:tcPr>
            <w:tcW w:w="1233" w:type="dxa"/>
          </w:tcPr>
          <w:p>
            <w:pPr>
              <w:pStyle w:val="TableParagraph"/>
              <w:spacing w:line="190" w:lineRule="exact"/>
              <w:ind w:left="287" w:right="310"/>
              <w:rPr>
                <w:sz w:val="18"/>
              </w:rPr>
            </w:pPr>
            <w:r>
              <w:rPr>
                <w:w w:val="105"/>
                <w:sz w:val="18"/>
              </w:rPr>
              <w:t>0(0)</w:t>
            </w:r>
          </w:p>
        </w:tc>
        <w:tc>
          <w:tcPr>
            <w:tcW w:w="1259" w:type="dxa"/>
          </w:tcPr>
          <w:p>
            <w:pPr>
              <w:pStyle w:val="TableParagraph"/>
              <w:spacing w:line="190" w:lineRule="exact"/>
              <w:ind w:left="310" w:right="314"/>
              <w:rPr>
                <w:sz w:val="18"/>
              </w:rPr>
            </w:pPr>
            <w:r>
              <w:rPr>
                <w:w w:val="105"/>
                <w:sz w:val="18"/>
              </w:rPr>
              <w:t>1 (1)</w:t>
            </w:r>
          </w:p>
        </w:tc>
      </w:tr>
      <w:tr>
        <w:trPr>
          <w:trHeight w:val="217" w:hRule="atLeast"/>
        </w:trPr>
        <w:tc>
          <w:tcPr>
            <w:tcW w:w="1601" w:type="dxa"/>
          </w:tcPr>
          <w:p>
            <w:pPr>
              <w:pStyle w:val="TableParagraph"/>
              <w:spacing w:before="6"/>
              <w:ind w:left="109"/>
              <w:jc w:val="left"/>
              <w:rPr>
                <w:sz w:val="18"/>
              </w:rPr>
            </w:pPr>
            <w:r>
              <w:rPr>
                <w:w w:val="105"/>
                <w:sz w:val="18"/>
              </w:rPr>
              <w:t>AmpC</w:t>
            </w:r>
          </w:p>
        </w:tc>
        <w:tc>
          <w:tcPr>
            <w:tcW w:w="1121" w:type="dxa"/>
          </w:tcPr>
          <w:p>
            <w:pPr>
              <w:pStyle w:val="TableParagraph"/>
              <w:spacing w:before="6"/>
              <w:ind w:left="201" w:right="286"/>
              <w:rPr>
                <w:sz w:val="18"/>
              </w:rPr>
            </w:pPr>
            <w:r>
              <w:rPr>
                <w:w w:val="105"/>
                <w:sz w:val="18"/>
              </w:rPr>
              <w:t>1 (2)</w:t>
            </w:r>
          </w:p>
        </w:tc>
        <w:tc>
          <w:tcPr>
            <w:tcW w:w="1233" w:type="dxa"/>
          </w:tcPr>
          <w:p>
            <w:pPr>
              <w:pStyle w:val="TableParagraph"/>
              <w:spacing w:before="6"/>
              <w:ind w:left="287" w:right="310"/>
              <w:rPr>
                <w:sz w:val="18"/>
              </w:rPr>
            </w:pPr>
            <w:r>
              <w:rPr>
                <w:w w:val="105"/>
                <w:sz w:val="18"/>
              </w:rPr>
              <w:t>0(0)</w:t>
            </w:r>
          </w:p>
        </w:tc>
        <w:tc>
          <w:tcPr>
            <w:tcW w:w="1259" w:type="dxa"/>
          </w:tcPr>
          <w:p>
            <w:pPr>
              <w:pStyle w:val="TableParagraph"/>
              <w:spacing w:before="6"/>
              <w:ind w:left="310" w:right="314"/>
              <w:rPr>
                <w:sz w:val="18"/>
              </w:rPr>
            </w:pPr>
            <w:r>
              <w:rPr>
                <w:w w:val="105"/>
                <w:sz w:val="18"/>
              </w:rPr>
              <w:t>1 (1)</w:t>
            </w:r>
          </w:p>
        </w:tc>
      </w:tr>
      <w:tr>
        <w:trPr>
          <w:trHeight w:val="218" w:hRule="atLeast"/>
        </w:trPr>
        <w:tc>
          <w:tcPr>
            <w:tcW w:w="1601" w:type="dxa"/>
          </w:tcPr>
          <w:p>
            <w:pPr>
              <w:pStyle w:val="TableParagraph"/>
              <w:ind w:left="109"/>
              <w:jc w:val="left"/>
              <w:rPr>
                <w:sz w:val="18"/>
              </w:rPr>
            </w:pPr>
            <w:r>
              <w:rPr>
                <w:w w:val="105"/>
                <w:sz w:val="18"/>
              </w:rPr>
              <w:t>AmpTetNaCo</w:t>
            </w:r>
          </w:p>
        </w:tc>
        <w:tc>
          <w:tcPr>
            <w:tcW w:w="1121" w:type="dxa"/>
          </w:tcPr>
          <w:p>
            <w:pPr>
              <w:pStyle w:val="TableParagraph"/>
              <w:ind w:left="201" w:right="284"/>
              <w:rPr>
                <w:sz w:val="18"/>
              </w:rPr>
            </w:pPr>
            <w:r>
              <w:rPr>
                <w:w w:val="105"/>
                <w:sz w:val="18"/>
              </w:rPr>
              <w:t>0(0)</w:t>
            </w:r>
          </w:p>
        </w:tc>
        <w:tc>
          <w:tcPr>
            <w:tcW w:w="1233" w:type="dxa"/>
          </w:tcPr>
          <w:p>
            <w:pPr>
              <w:pStyle w:val="TableParagraph"/>
              <w:ind w:left="282" w:right="312"/>
              <w:rPr>
                <w:sz w:val="18"/>
              </w:rPr>
            </w:pPr>
            <w:r>
              <w:rPr>
                <w:w w:val="105"/>
                <w:sz w:val="18"/>
              </w:rPr>
              <w:t>1 (3)</w:t>
            </w:r>
          </w:p>
        </w:tc>
        <w:tc>
          <w:tcPr>
            <w:tcW w:w="1259" w:type="dxa"/>
          </w:tcPr>
          <w:p>
            <w:pPr>
              <w:pStyle w:val="TableParagraph"/>
              <w:ind w:left="310" w:right="314"/>
              <w:rPr>
                <w:sz w:val="18"/>
              </w:rPr>
            </w:pPr>
            <w:r>
              <w:rPr>
                <w:w w:val="105"/>
                <w:sz w:val="18"/>
              </w:rPr>
              <w:t>1 (1)</w:t>
            </w:r>
          </w:p>
        </w:tc>
      </w:tr>
      <w:tr>
        <w:trPr>
          <w:trHeight w:val="218" w:hRule="atLeast"/>
        </w:trPr>
        <w:tc>
          <w:tcPr>
            <w:tcW w:w="1601" w:type="dxa"/>
          </w:tcPr>
          <w:p>
            <w:pPr>
              <w:pStyle w:val="TableParagraph"/>
              <w:ind w:left="109"/>
              <w:jc w:val="left"/>
              <w:rPr>
                <w:sz w:val="18"/>
              </w:rPr>
            </w:pPr>
            <w:r>
              <w:rPr>
                <w:w w:val="105"/>
                <w:sz w:val="18"/>
              </w:rPr>
              <w:t>AmpCoTet</w:t>
            </w:r>
          </w:p>
        </w:tc>
        <w:tc>
          <w:tcPr>
            <w:tcW w:w="1121" w:type="dxa"/>
          </w:tcPr>
          <w:p>
            <w:pPr>
              <w:pStyle w:val="TableParagraph"/>
              <w:ind w:left="201" w:right="284"/>
              <w:rPr>
                <w:sz w:val="18"/>
              </w:rPr>
            </w:pPr>
            <w:r>
              <w:rPr>
                <w:w w:val="105"/>
                <w:sz w:val="18"/>
              </w:rPr>
              <w:t>0(0)</w:t>
            </w:r>
          </w:p>
        </w:tc>
        <w:tc>
          <w:tcPr>
            <w:tcW w:w="1233" w:type="dxa"/>
          </w:tcPr>
          <w:p>
            <w:pPr>
              <w:pStyle w:val="TableParagraph"/>
              <w:ind w:left="282" w:right="312"/>
              <w:rPr>
                <w:sz w:val="18"/>
              </w:rPr>
            </w:pPr>
            <w:r>
              <w:rPr>
                <w:w w:val="105"/>
                <w:sz w:val="18"/>
              </w:rPr>
              <w:t>1 (3)</w:t>
            </w:r>
          </w:p>
        </w:tc>
        <w:tc>
          <w:tcPr>
            <w:tcW w:w="1259" w:type="dxa"/>
          </w:tcPr>
          <w:p>
            <w:pPr>
              <w:pStyle w:val="TableParagraph"/>
              <w:ind w:left="310" w:right="314"/>
              <w:rPr>
                <w:sz w:val="18"/>
              </w:rPr>
            </w:pPr>
            <w:r>
              <w:rPr>
                <w:w w:val="105"/>
                <w:sz w:val="18"/>
              </w:rPr>
              <w:t>1 (1)</w:t>
            </w:r>
          </w:p>
        </w:tc>
      </w:tr>
      <w:tr>
        <w:trPr>
          <w:trHeight w:val="218" w:hRule="atLeast"/>
        </w:trPr>
        <w:tc>
          <w:tcPr>
            <w:tcW w:w="1601" w:type="dxa"/>
          </w:tcPr>
          <w:p>
            <w:pPr>
              <w:pStyle w:val="TableParagraph"/>
              <w:ind w:left="109"/>
              <w:jc w:val="left"/>
              <w:rPr>
                <w:sz w:val="18"/>
              </w:rPr>
            </w:pPr>
            <w:r>
              <w:rPr>
                <w:w w:val="105"/>
                <w:sz w:val="18"/>
              </w:rPr>
              <w:t>AmpCoTetCtx</w:t>
            </w:r>
          </w:p>
        </w:tc>
        <w:tc>
          <w:tcPr>
            <w:tcW w:w="1121" w:type="dxa"/>
          </w:tcPr>
          <w:p>
            <w:pPr>
              <w:pStyle w:val="TableParagraph"/>
              <w:ind w:left="201" w:right="284"/>
              <w:rPr>
                <w:sz w:val="18"/>
              </w:rPr>
            </w:pPr>
            <w:r>
              <w:rPr>
                <w:w w:val="105"/>
                <w:sz w:val="18"/>
              </w:rPr>
              <w:t>0(0)</w:t>
            </w:r>
          </w:p>
        </w:tc>
        <w:tc>
          <w:tcPr>
            <w:tcW w:w="1233" w:type="dxa"/>
          </w:tcPr>
          <w:p>
            <w:pPr>
              <w:pStyle w:val="TableParagraph"/>
              <w:ind w:left="282" w:right="312"/>
              <w:rPr>
                <w:sz w:val="18"/>
              </w:rPr>
            </w:pPr>
            <w:r>
              <w:rPr>
                <w:w w:val="105"/>
                <w:sz w:val="18"/>
              </w:rPr>
              <w:t>1 (3)</w:t>
            </w:r>
          </w:p>
        </w:tc>
        <w:tc>
          <w:tcPr>
            <w:tcW w:w="1259" w:type="dxa"/>
          </w:tcPr>
          <w:p>
            <w:pPr>
              <w:pStyle w:val="TableParagraph"/>
              <w:ind w:left="310" w:right="314"/>
              <w:rPr>
                <w:sz w:val="18"/>
              </w:rPr>
            </w:pPr>
            <w:r>
              <w:rPr>
                <w:w w:val="105"/>
                <w:sz w:val="18"/>
              </w:rPr>
              <w:t>1 (1)</w:t>
            </w:r>
          </w:p>
        </w:tc>
      </w:tr>
      <w:tr>
        <w:trPr>
          <w:trHeight w:val="218" w:hRule="atLeast"/>
        </w:trPr>
        <w:tc>
          <w:tcPr>
            <w:tcW w:w="1601" w:type="dxa"/>
          </w:tcPr>
          <w:p>
            <w:pPr>
              <w:pStyle w:val="TableParagraph"/>
              <w:ind w:left="109"/>
              <w:jc w:val="left"/>
              <w:rPr>
                <w:sz w:val="18"/>
              </w:rPr>
            </w:pPr>
            <w:r>
              <w:rPr>
                <w:w w:val="105"/>
                <w:sz w:val="18"/>
              </w:rPr>
              <w:t>Nil</w:t>
            </w:r>
          </w:p>
        </w:tc>
        <w:tc>
          <w:tcPr>
            <w:tcW w:w="1121" w:type="dxa"/>
          </w:tcPr>
          <w:p>
            <w:pPr>
              <w:pStyle w:val="TableParagraph"/>
              <w:ind w:left="201" w:right="286"/>
              <w:rPr>
                <w:sz w:val="18"/>
              </w:rPr>
            </w:pPr>
            <w:r>
              <w:rPr>
                <w:w w:val="105"/>
                <w:sz w:val="18"/>
              </w:rPr>
              <w:t>28 (53)</w:t>
            </w:r>
          </w:p>
        </w:tc>
        <w:tc>
          <w:tcPr>
            <w:tcW w:w="1233" w:type="dxa"/>
          </w:tcPr>
          <w:p>
            <w:pPr>
              <w:pStyle w:val="TableParagraph"/>
              <w:ind w:left="287" w:right="312"/>
              <w:rPr>
                <w:sz w:val="18"/>
              </w:rPr>
            </w:pPr>
            <w:r>
              <w:rPr>
                <w:w w:val="105"/>
                <w:sz w:val="18"/>
              </w:rPr>
              <w:t>13 (42)</w:t>
            </w:r>
          </w:p>
        </w:tc>
        <w:tc>
          <w:tcPr>
            <w:tcW w:w="1259" w:type="dxa"/>
          </w:tcPr>
          <w:p>
            <w:pPr>
              <w:pStyle w:val="TableParagraph"/>
              <w:ind w:left="312" w:right="314"/>
              <w:rPr>
                <w:sz w:val="18"/>
              </w:rPr>
            </w:pPr>
            <w:r>
              <w:rPr>
                <w:w w:val="105"/>
                <w:sz w:val="18"/>
              </w:rPr>
              <w:t>41 (49)</w:t>
            </w:r>
          </w:p>
        </w:tc>
      </w:tr>
      <w:tr>
        <w:trPr>
          <w:trHeight w:val="227" w:hRule="atLeast"/>
        </w:trPr>
        <w:tc>
          <w:tcPr>
            <w:tcW w:w="1601" w:type="dxa"/>
            <w:tcBorders>
              <w:bottom w:val="single" w:sz="4" w:space="0" w:color="000000"/>
            </w:tcBorders>
          </w:tcPr>
          <w:p>
            <w:pPr>
              <w:pStyle w:val="TableParagraph"/>
              <w:spacing w:line="240" w:lineRule="auto" w:before="0"/>
              <w:jc w:val="left"/>
              <w:rPr>
                <w:rFonts w:ascii="Times New Roman"/>
                <w:sz w:val="16"/>
              </w:rPr>
            </w:pPr>
          </w:p>
        </w:tc>
        <w:tc>
          <w:tcPr>
            <w:tcW w:w="1121" w:type="dxa"/>
            <w:tcBorders>
              <w:bottom w:val="single" w:sz="4" w:space="0" w:color="000000"/>
            </w:tcBorders>
          </w:tcPr>
          <w:p>
            <w:pPr>
              <w:pStyle w:val="TableParagraph"/>
              <w:spacing w:line="200" w:lineRule="exact"/>
              <w:ind w:left="201" w:right="286"/>
              <w:rPr>
                <w:b/>
                <w:sz w:val="18"/>
              </w:rPr>
            </w:pPr>
            <w:r>
              <w:rPr>
                <w:b/>
                <w:w w:val="105"/>
                <w:sz w:val="18"/>
              </w:rPr>
              <w:t>53</w:t>
            </w:r>
          </w:p>
        </w:tc>
        <w:tc>
          <w:tcPr>
            <w:tcW w:w="1233" w:type="dxa"/>
            <w:tcBorders>
              <w:bottom w:val="single" w:sz="4" w:space="0" w:color="000000"/>
            </w:tcBorders>
          </w:tcPr>
          <w:p>
            <w:pPr>
              <w:pStyle w:val="TableParagraph"/>
              <w:spacing w:line="200" w:lineRule="exact"/>
              <w:ind w:left="282" w:right="312"/>
              <w:rPr>
                <w:b/>
                <w:sz w:val="18"/>
              </w:rPr>
            </w:pPr>
            <w:r>
              <w:rPr>
                <w:b/>
                <w:w w:val="105"/>
                <w:sz w:val="18"/>
              </w:rPr>
              <w:t>31</w:t>
            </w:r>
          </w:p>
        </w:tc>
        <w:tc>
          <w:tcPr>
            <w:tcW w:w="1259" w:type="dxa"/>
            <w:tcBorders>
              <w:bottom w:val="single" w:sz="4" w:space="0" w:color="000000"/>
            </w:tcBorders>
          </w:tcPr>
          <w:p>
            <w:pPr>
              <w:pStyle w:val="TableParagraph"/>
              <w:spacing w:line="200" w:lineRule="exact"/>
              <w:ind w:left="312" w:right="314"/>
              <w:rPr>
                <w:b/>
                <w:sz w:val="18"/>
              </w:rPr>
            </w:pPr>
            <w:r>
              <w:rPr>
                <w:b/>
                <w:w w:val="105"/>
                <w:sz w:val="18"/>
              </w:rPr>
              <w:t>84</w:t>
            </w:r>
          </w:p>
        </w:tc>
      </w:tr>
    </w:tbl>
    <w:p>
      <w:pPr>
        <w:pStyle w:val="Heading2"/>
        <w:ind w:left="2902"/>
        <w:jc w:val="left"/>
      </w:pPr>
      <w:r>
        <w:rPr>
          <w:w w:val="105"/>
        </w:rPr>
        <w:t>KEY:</w:t>
      </w:r>
    </w:p>
    <w:p>
      <w:pPr>
        <w:pStyle w:val="BodyText"/>
        <w:tabs>
          <w:tab w:pos="3579" w:val="left" w:leader="none"/>
        </w:tabs>
        <w:spacing w:before="9"/>
        <w:ind w:left="2902"/>
      </w:pPr>
      <w:r>
        <w:rPr>
          <w:w w:val="105"/>
        </w:rPr>
        <w:t>Amp</w:t>
      </w:r>
      <w:r>
        <w:rPr>
          <w:rFonts w:ascii="Times New Roman"/>
          <w:w w:val="105"/>
        </w:rPr>
        <w:tab/>
      </w:r>
      <w:r>
        <w:rPr>
          <w:w w:val="105"/>
        </w:rPr>
        <w:t>Ampicillin</w:t>
      </w:r>
    </w:p>
    <w:p>
      <w:pPr>
        <w:pStyle w:val="BodyText"/>
        <w:tabs>
          <w:tab w:pos="3579" w:val="left" w:leader="none"/>
        </w:tabs>
        <w:spacing w:before="9"/>
        <w:ind w:left="2902"/>
      </w:pPr>
      <w:r>
        <w:rPr>
          <w:w w:val="105"/>
        </w:rPr>
        <w:t>C</w:t>
      </w:r>
      <w:r>
        <w:rPr>
          <w:rFonts w:ascii="Times New Roman"/>
          <w:w w:val="105"/>
        </w:rPr>
        <w:tab/>
      </w:r>
      <w:r>
        <w:rPr>
          <w:w w:val="105"/>
        </w:rPr>
        <w:t>Chloramphenicol</w:t>
      </w:r>
    </w:p>
    <w:p>
      <w:pPr>
        <w:pStyle w:val="BodyText"/>
        <w:tabs>
          <w:tab w:pos="3579" w:val="left" w:leader="none"/>
        </w:tabs>
        <w:spacing w:before="7"/>
        <w:ind w:left="2902"/>
      </w:pPr>
      <w:r>
        <w:rPr>
          <w:w w:val="105"/>
        </w:rPr>
        <w:t>Co</w:t>
      </w:r>
      <w:r>
        <w:rPr>
          <w:rFonts w:ascii="Times New Roman"/>
          <w:w w:val="105"/>
        </w:rPr>
        <w:tab/>
      </w:r>
      <w:r>
        <w:rPr>
          <w:w w:val="105"/>
        </w:rPr>
        <w:t>Cotrimoxazole</w:t>
      </w:r>
    </w:p>
    <w:p>
      <w:pPr>
        <w:pStyle w:val="BodyText"/>
        <w:tabs>
          <w:tab w:pos="3579" w:val="left" w:leader="none"/>
        </w:tabs>
        <w:spacing w:before="12"/>
        <w:ind w:left="2902"/>
      </w:pPr>
      <w:r>
        <w:rPr>
          <w:w w:val="105"/>
        </w:rPr>
        <w:t>Tet</w:t>
      </w:r>
      <w:r>
        <w:rPr>
          <w:rFonts w:ascii="Times New Roman"/>
          <w:w w:val="105"/>
        </w:rPr>
        <w:tab/>
      </w:r>
      <w:r>
        <w:rPr>
          <w:w w:val="105"/>
        </w:rPr>
        <w:t>Tetracycline</w:t>
      </w:r>
    </w:p>
    <w:p>
      <w:pPr>
        <w:pStyle w:val="BodyText"/>
        <w:tabs>
          <w:tab w:pos="3579" w:val="left" w:leader="none"/>
        </w:tabs>
        <w:spacing w:before="10"/>
        <w:ind w:left="2902"/>
      </w:pPr>
      <w:r>
        <w:rPr>
          <w:w w:val="105"/>
        </w:rPr>
        <w:t>Ctx</w:t>
      </w:r>
      <w:r>
        <w:rPr>
          <w:rFonts w:ascii="Times New Roman"/>
          <w:w w:val="105"/>
        </w:rPr>
        <w:tab/>
      </w:r>
      <w:r>
        <w:rPr>
          <w:w w:val="105"/>
        </w:rPr>
        <w:t>Ceftriaxone</w:t>
      </w:r>
    </w:p>
    <w:p>
      <w:pPr>
        <w:pStyle w:val="BodyText"/>
        <w:tabs>
          <w:tab w:pos="3634" w:val="left" w:leader="none"/>
        </w:tabs>
        <w:spacing w:before="9"/>
        <w:ind w:left="2902"/>
      </w:pPr>
      <w:r>
        <w:rPr>
          <w:w w:val="105"/>
        </w:rPr>
        <w:t>Na</w:t>
      </w:r>
      <w:r>
        <w:rPr>
          <w:rFonts w:ascii="Times New Roman"/>
          <w:w w:val="105"/>
        </w:rPr>
        <w:tab/>
      </w:r>
      <w:r>
        <w:rPr>
          <w:w w:val="105"/>
        </w:rPr>
        <w:t>Nalidixic Acid</w:t>
      </w:r>
    </w:p>
    <w:p>
      <w:pPr>
        <w:pStyle w:val="BodyText"/>
        <w:tabs>
          <w:tab w:pos="3574" w:val="left" w:leader="none"/>
        </w:tabs>
        <w:spacing w:line="247" w:lineRule="auto" w:before="9"/>
        <w:ind w:left="2902" w:right="3649"/>
      </w:pPr>
      <w:r>
        <w:rPr>
          <w:w w:val="105"/>
        </w:rPr>
        <w:t>ESBL</w:t>
      </w:r>
      <w:r>
        <w:rPr>
          <w:rFonts w:ascii="Times New Roman"/>
          <w:w w:val="105"/>
        </w:rPr>
        <w:tab/>
      </w:r>
      <w:r>
        <w:rPr>
          <w:w w:val="105"/>
        </w:rPr>
        <w:t>Extended Spectrum Beta</w:t>
      </w:r>
      <w:r>
        <w:rPr>
          <w:spacing w:val="-23"/>
          <w:w w:val="105"/>
        </w:rPr>
        <w:t> </w:t>
      </w:r>
      <w:r>
        <w:rPr>
          <w:w w:val="105"/>
        </w:rPr>
        <w:t>lactamase Values in parenthesis are</w:t>
      </w:r>
      <w:r>
        <w:rPr>
          <w:spacing w:val="-14"/>
          <w:w w:val="105"/>
        </w:rPr>
        <w:t> </w:t>
      </w:r>
      <w:r>
        <w:rPr>
          <w:w w:val="105"/>
        </w:rPr>
        <w:t>percentages</w:t>
      </w:r>
    </w:p>
    <w:p>
      <w:pPr>
        <w:spacing w:after="0" w:line="247" w:lineRule="auto"/>
        <w:sectPr>
          <w:headerReference w:type="default" r:id="rId16"/>
          <w:footerReference w:type="default" r:id="rId17"/>
          <w:pgSz w:w="12240" w:h="15840"/>
          <w:pgMar w:header="961" w:footer="1084" w:top="1160" w:bottom="1280" w:left="1000" w:right="1020"/>
          <w:pgNumType w:start="51"/>
        </w:sectPr>
      </w:pPr>
    </w:p>
    <w:p>
      <w:pPr>
        <w:pStyle w:val="BodyText"/>
        <w:spacing w:before="1"/>
        <w:rPr>
          <w:sz w:val="21"/>
        </w:rPr>
      </w:pPr>
    </w:p>
    <w:p>
      <w:pPr>
        <w:pStyle w:val="BodyText"/>
        <w:ind w:left="338"/>
        <w:rPr>
          <w:sz w:val="20"/>
        </w:rPr>
      </w:pPr>
      <w:r>
        <w:rPr>
          <w:sz w:val="20"/>
        </w:rPr>
        <w:pict>
          <v:group style="width:476.55pt;height:144pt;mso-position-horizontal-relative:char;mso-position-vertical-relative:line" coordorigin="0,0" coordsize="9531,2880">
            <v:shape style="position:absolute;left:590;top:0;width:8938;height:2880" type="#_x0000_t75" stroked="false">
              <v:imagedata r:id="rId18" o:title=""/>
            </v:shape>
            <v:shape style="position:absolute;left:376;top:2232;width:776;height:168" coordorigin="377,2232" coordsize="776,168" path="m984,2232l984,2400,1094,2345,1010,2345,1010,2287,1094,2287,984,2232xm984,2287l377,2287,377,2345,984,2345,984,2287xm1094,2287l1010,2287,1010,2345,1094,2345,1152,2316,1094,2287xe" filled="true" fillcolor="#f2f2f2" stroked="false">
              <v:path arrowok="t"/>
              <v:fill type="solid"/>
            </v:shape>
            <v:rect style="position:absolute;left:887;top:213;width:8415;height:375" filled="false" stroked="true" strokeweight=".704952pt" strokecolor="#ffffff">
              <v:stroke dashstyle="solid"/>
            </v:rect>
            <v:rect style="position:absolute;left:7;top:2109;width:881;height:392" filled="true" fillcolor="#ffffff" stroked="false">
              <v:fill type="solid"/>
            </v:rect>
            <v:shape style="position:absolute;left:8882;top:2073;width:648;height:171" coordorigin="8882,2074" coordsize="648,171" path="m9050,2074l8882,2158,9050,2244,9050,2186,9024,2186,9024,2131,9050,2131,9050,2074xm9050,2131l9024,2131,9024,2186,9050,2186,9050,2131xm9530,2131l9050,2131,9050,2186,9530,2186,9530,2131xe" filled="true" fillcolor="#f2f2f2" stroked="false">
              <v:path arrowok="t"/>
              <v:fill type="solid"/>
            </v:shape>
            <v:shape style="position:absolute;left:7;top:0;width:9524;height:2880" type="#_x0000_t202" filled="false" stroked="false">
              <v:textbox inset="0,0,0,0">
                <w:txbxContent>
                  <w:p>
                    <w:pPr>
                      <w:spacing w:line="240" w:lineRule="auto" w:before="4"/>
                      <w:rPr>
                        <w:sz w:val="25"/>
                      </w:rPr>
                    </w:pPr>
                  </w:p>
                  <w:p>
                    <w:pPr>
                      <w:tabs>
                        <w:tab w:pos="2841" w:val="left" w:leader="none"/>
                      </w:tabs>
                      <w:spacing w:before="0"/>
                      <w:ind w:left="880" w:right="0" w:firstLine="0"/>
                      <w:jc w:val="left"/>
                      <w:rPr>
                        <w:rFonts w:ascii="Times New Roman"/>
                        <w:sz w:val="20"/>
                      </w:rPr>
                    </w:pPr>
                    <w:r>
                      <w:rPr>
                        <w:rFonts w:ascii="Times New Roman"/>
                        <w:w w:val="103"/>
                        <w:sz w:val="20"/>
                        <w:shd w:fill="FFFFFF" w:color="auto" w:val="clear"/>
                      </w:rPr>
                      <w:t> </w:t>
                    </w:r>
                    <w:r>
                      <w:rPr>
                        <w:rFonts w:ascii="Times New Roman"/>
                        <w:sz w:val="20"/>
                        <w:shd w:fill="FFFFFF" w:color="auto" w:val="clear"/>
                      </w:rPr>
                      <w:t> </w:t>
                    </w:r>
                    <w:r>
                      <w:rPr>
                        <w:rFonts w:ascii="Times New Roman"/>
                        <w:spacing w:val="-11"/>
                        <w:sz w:val="20"/>
                        <w:shd w:fill="FFFFFF" w:color="auto" w:val="clear"/>
                      </w:rPr>
                      <w:t> </w:t>
                    </w:r>
                    <w:r>
                      <w:rPr>
                        <w:rFonts w:ascii="Calibri"/>
                        <w:w w:val="105"/>
                        <w:sz w:val="20"/>
                        <w:shd w:fill="FFFFFF" w:color="auto" w:val="clear"/>
                      </w:rPr>
                      <w:t>M   1    2    3  </w:t>
                    </w:r>
                    <w:r>
                      <w:rPr>
                        <w:rFonts w:ascii="Calibri"/>
                        <w:spacing w:val="24"/>
                        <w:w w:val="105"/>
                        <w:sz w:val="20"/>
                        <w:shd w:fill="FFFFFF" w:color="auto" w:val="clear"/>
                      </w:rPr>
                      <w:t> </w:t>
                    </w:r>
                    <w:r>
                      <w:rPr>
                        <w:rFonts w:ascii="Calibri"/>
                        <w:w w:val="105"/>
                        <w:sz w:val="20"/>
                        <w:shd w:fill="FFFFFF" w:color="auto" w:val="clear"/>
                      </w:rPr>
                      <w:t>4  </w:t>
                    </w:r>
                    <w:r>
                      <w:rPr>
                        <w:rFonts w:ascii="Calibri"/>
                        <w:spacing w:val="41"/>
                        <w:w w:val="105"/>
                        <w:sz w:val="20"/>
                        <w:shd w:fill="FFFFFF" w:color="auto" w:val="clear"/>
                      </w:rPr>
                      <w:t> </w:t>
                    </w:r>
                    <w:r>
                      <w:rPr>
                        <w:rFonts w:ascii="Calibri"/>
                        <w:w w:val="105"/>
                        <w:sz w:val="20"/>
                        <w:shd w:fill="FFFFFF" w:color="auto" w:val="clear"/>
                      </w:rPr>
                      <w:t>5</w:t>
                    </w:r>
                    <w:r>
                      <w:rPr>
                        <w:rFonts w:ascii="Times New Roman"/>
                        <w:w w:val="105"/>
                        <w:sz w:val="20"/>
                        <w:shd w:fill="FFFFFF" w:color="auto" w:val="clear"/>
                      </w:rPr>
                      <w:tab/>
                    </w:r>
                    <w:r>
                      <w:rPr>
                        <w:rFonts w:ascii="Calibri"/>
                        <w:w w:val="105"/>
                        <w:sz w:val="20"/>
                        <w:shd w:fill="FFFFFF" w:color="auto" w:val="clear"/>
                      </w:rPr>
                      <w:t>6 7 8 9 10 11 12 13 14 15 16 17 18 19 20 21 22 23 24 25</w:t>
                    </w:r>
                    <w:r>
                      <w:rPr>
                        <w:rFonts w:ascii="Calibri"/>
                        <w:spacing w:val="38"/>
                        <w:w w:val="105"/>
                        <w:sz w:val="20"/>
                        <w:shd w:fill="FFFFFF" w:color="auto" w:val="clear"/>
                      </w:rPr>
                      <w:t> </w:t>
                    </w:r>
                    <w:r>
                      <w:rPr>
                        <w:rFonts w:ascii="Calibri"/>
                        <w:w w:val="105"/>
                        <w:sz w:val="20"/>
                        <w:shd w:fill="FFFFFF" w:color="auto" w:val="clear"/>
                      </w:rPr>
                      <w:t>C</w:t>
                    </w:r>
                    <w:r>
                      <w:rPr>
                        <w:rFonts w:ascii="Times New Roman"/>
                        <w:spacing w:val="-21"/>
                        <w:sz w:val="20"/>
                        <w:shd w:fill="FFFFFF" w:color="auto" w:val="clear"/>
                      </w:rPr>
                      <w:t> </w:t>
                    </w:r>
                  </w:p>
                </w:txbxContent>
              </v:textbox>
              <w10:wrap type="none"/>
            </v:shape>
            <v:shape style="position:absolute;left:7;top:2109;width:881;height:392" type="#_x0000_t202" filled="false" stroked="true" strokeweight=".704952pt" strokecolor="#000000">
              <v:textbox inset="0,0,0,0">
                <w:txbxContent>
                  <w:p>
                    <w:pPr>
                      <w:spacing w:before="76"/>
                      <w:ind w:left="134" w:right="0" w:firstLine="0"/>
                      <w:jc w:val="left"/>
                      <w:rPr>
                        <w:rFonts w:ascii="Calibri"/>
                        <w:sz w:val="20"/>
                      </w:rPr>
                    </w:pPr>
                    <w:r>
                      <w:rPr>
                        <w:rFonts w:ascii="Calibri"/>
                        <w:w w:val="105"/>
                        <w:sz w:val="20"/>
                      </w:rPr>
                      <w:t>250bp</w:t>
                    </w:r>
                  </w:p>
                </w:txbxContent>
              </v:textbox>
              <v:stroke dashstyle="solid"/>
              <w10:wrap type="none"/>
            </v:shape>
          </v:group>
        </w:pict>
      </w:r>
      <w:r>
        <w:rPr>
          <w:sz w:val="20"/>
        </w:rPr>
      </w:r>
    </w:p>
    <w:p>
      <w:pPr>
        <w:pStyle w:val="BodyText"/>
        <w:spacing w:before="47"/>
        <w:ind w:left="929"/>
        <w:rPr>
          <w:i/>
        </w:rPr>
      </w:pPr>
      <w:r>
        <w:rPr>
          <w:w w:val="105"/>
        </w:rPr>
        <w:t>Plate 1:- Agarose gel electrophoresis pattern showing single PCR amplified products of </w:t>
      </w:r>
      <w:r>
        <w:rPr>
          <w:i/>
          <w:w w:val="105"/>
        </w:rPr>
        <w:t>S. enterica</w:t>
      </w:r>
    </w:p>
    <w:p>
      <w:pPr>
        <w:pStyle w:val="BodyText"/>
        <w:spacing w:before="10"/>
        <w:ind w:left="871"/>
      </w:pPr>
      <w:r>
        <w:rPr>
          <w:w w:val="105"/>
        </w:rPr>
        <w:t>serovar Typhi </w:t>
      </w:r>
      <w:r>
        <w:rPr>
          <w:i/>
          <w:w w:val="105"/>
        </w:rPr>
        <w:t>Blactx gene </w:t>
      </w:r>
      <w:r>
        <w:rPr>
          <w:w w:val="105"/>
        </w:rPr>
        <w:t>in lanes number 12, 13, 21 and 24.</w:t>
      </w:r>
    </w:p>
    <w:p>
      <w:pPr>
        <w:pStyle w:val="BodyText"/>
        <w:spacing w:before="9"/>
        <w:ind w:left="871"/>
      </w:pPr>
      <w:r>
        <w:rPr>
          <w:w w:val="105"/>
        </w:rPr>
        <w:t>Lane M :- DNA molecular marker (50- bp ladder), Lane C s:- Negative control</w:t>
      </w:r>
    </w:p>
    <w:p>
      <w:pPr>
        <w:pStyle w:val="BodyText"/>
        <w:spacing w:before="5"/>
        <w:rPr>
          <w:sz w:val="10"/>
        </w:rPr>
      </w:pPr>
    </w:p>
    <w:p>
      <w:pPr>
        <w:spacing w:after="0"/>
        <w:rPr>
          <w:sz w:val="10"/>
        </w:rPr>
        <w:sectPr>
          <w:pgSz w:w="12240" w:h="15840"/>
          <w:pgMar w:header="961" w:footer="1084" w:top="1160" w:bottom="1280" w:left="1000" w:right="1020"/>
        </w:sectPr>
      </w:pPr>
    </w:p>
    <w:p>
      <w:pPr>
        <w:spacing w:before="107"/>
        <w:ind w:left="871" w:right="0" w:firstLine="0"/>
        <w:jc w:val="left"/>
        <w:rPr>
          <w:b/>
          <w:sz w:val="18"/>
        </w:rPr>
      </w:pPr>
      <w:r>
        <w:rPr>
          <w:b/>
          <w:color w:val="00AFF0"/>
          <w:w w:val="105"/>
          <w:sz w:val="18"/>
        </w:rPr>
        <w:t>DISCUSSION</w:t>
      </w:r>
    </w:p>
    <w:p>
      <w:pPr>
        <w:pStyle w:val="BodyText"/>
        <w:spacing w:line="249" w:lineRule="auto" w:before="7"/>
        <w:ind w:left="872" w:right="1"/>
        <w:jc w:val="both"/>
      </w:pPr>
      <w:r>
        <w:rPr>
          <w:w w:val="105"/>
        </w:rPr>
        <w:t>The </w:t>
      </w:r>
      <w:r>
        <w:rPr>
          <w:i/>
          <w:w w:val="105"/>
        </w:rPr>
        <w:t>Salmonella </w:t>
      </w:r>
      <w:r>
        <w:rPr>
          <w:w w:val="105"/>
        </w:rPr>
        <w:t>ser</w:t>
      </w:r>
      <w:r>
        <w:rPr>
          <w:i/>
          <w:w w:val="105"/>
        </w:rPr>
        <w:t>. Typhi </w:t>
      </w:r>
      <w:r>
        <w:rPr>
          <w:w w:val="105"/>
        </w:rPr>
        <w:t>incidence from this study is higher in Yola (20.7%) compared to the 13.9% occurrence rates in Gombi. This goes on to buttress the fact that </w:t>
      </w:r>
      <w:r>
        <w:rPr>
          <w:i/>
          <w:w w:val="105"/>
        </w:rPr>
        <w:t>Salmonella </w:t>
      </w:r>
      <w:r>
        <w:rPr>
          <w:w w:val="105"/>
        </w:rPr>
        <w:t>ser</w:t>
      </w:r>
      <w:r>
        <w:rPr>
          <w:i/>
          <w:w w:val="105"/>
        </w:rPr>
        <w:t>. Typhi </w:t>
      </w:r>
      <w:r>
        <w:rPr>
          <w:w w:val="105"/>
        </w:rPr>
        <w:t>is endemic in the study since factors like low socioeconomic status, unhygienic practices, overcrowding, lack of proper sanitation and carrier status that have been linked to the persistence of </w:t>
      </w:r>
      <w:r>
        <w:rPr>
          <w:i/>
          <w:w w:val="105"/>
        </w:rPr>
        <w:t>S</w:t>
      </w:r>
      <w:r>
        <w:rPr>
          <w:w w:val="105"/>
        </w:rPr>
        <w:t>. ser. Typhi a population are prevalent in the study area.</w:t>
      </w:r>
    </w:p>
    <w:p>
      <w:pPr>
        <w:pStyle w:val="BodyText"/>
        <w:spacing w:line="249" w:lineRule="auto" w:before="10"/>
        <w:ind w:left="872"/>
        <w:jc w:val="both"/>
      </w:pPr>
      <w:r>
        <w:rPr>
          <w:w w:val="105"/>
        </w:rPr>
        <w:t>More of the </w:t>
      </w:r>
      <w:r>
        <w:rPr>
          <w:i/>
          <w:w w:val="105"/>
        </w:rPr>
        <w:t>Salmonella </w:t>
      </w:r>
      <w:r>
        <w:rPr>
          <w:w w:val="105"/>
        </w:rPr>
        <w:t>ser</w:t>
      </w:r>
      <w:r>
        <w:rPr>
          <w:i/>
          <w:w w:val="105"/>
        </w:rPr>
        <w:t>. Typhi </w:t>
      </w:r>
      <w:r>
        <w:rPr>
          <w:w w:val="105"/>
        </w:rPr>
        <w:t>from this study was recovered from males than females. This finding is in agreement with previous studies in Adamawa Southern senatorial zone reported by Sale </w:t>
      </w:r>
      <w:r>
        <w:rPr>
          <w:i/>
          <w:w w:val="105"/>
        </w:rPr>
        <w:t>et. al. </w:t>
      </w:r>
      <w:r>
        <w:rPr>
          <w:w w:val="105"/>
        </w:rPr>
        <w:t>(2017) where 20% of </w:t>
      </w:r>
      <w:r>
        <w:rPr>
          <w:i/>
          <w:w w:val="105"/>
        </w:rPr>
        <w:t>Salmonella </w:t>
      </w:r>
      <w:r>
        <w:rPr>
          <w:w w:val="105"/>
        </w:rPr>
        <w:t>ser. Typhi recovery was among males compared to 16.9% in female. It also agreed with earlier reports by Clark </w:t>
      </w:r>
      <w:r>
        <w:rPr>
          <w:i/>
          <w:w w:val="105"/>
        </w:rPr>
        <w:t>et al</w:t>
      </w:r>
      <w:r>
        <w:rPr>
          <w:w w:val="105"/>
        </w:rPr>
        <w:t>. (2010) who reported that 55% of adult typhoid cases were males in the United Kingdom. This result however is at variance with the report of Saleh </w:t>
      </w:r>
      <w:r>
        <w:rPr>
          <w:i/>
          <w:w w:val="105"/>
        </w:rPr>
        <w:t>et al., </w:t>
      </w:r>
      <w:r>
        <w:rPr>
          <w:w w:val="105"/>
        </w:rPr>
        <w:t>(2014) who reported higher frequency of isolation from females (24%) than from males (9%). Higher occurrence in males could imply lower hygiene levels in males and the tendency to eat out often from unhygienic sources like road side food vendors. The fact however still remains that enteric fever occurrence has nothing to do with gender but low level of hygiene and eating habits (FAO, 2011).</w:t>
      </w:r>
    </w:p>
    <w:p>
      <w:pPr>
        <w:pStyle w:val="BodyText"/>
        <w:spacing w:line="249" w:lineRule="auto" w:before="20"/>
        <w:ind w:left="872"/>
        <w:jc w:val="both"/>
      </w:pPr>
      <w:r>
        <w:rPr>
          <w:w w:val="105"/>
        </w:rPr>
        <w:t>From the result of antibacterial susceptibility test it was observed that the highest resistance (90%) was observed against ampicillin, followed by cotrimoxazole (71%) and tetracycline (70%). This finding is similar to the 83.3% ampicillin resistance among </w:t>
      </w:r>
      <w:r>
        <w:rPr>
          <w:i/>
          <w:w w:val="105"/>
        </w:rPr>
        <w:t>S</w:t>
      </w:r>
      <w:r>
        <w:rPr>
          <w:w w:val="105"/>
        </w:rPr>
        <w:t>. ser. Typhi isolates</w:t>
      </w:r>
      <w:r>
        <w:rPr>
          <w:spacing w:val="-28"/>
          <w:w w:val="105"/>
        </w:rPr>
        <w:t> </w:t>
      </w:r>
      <w:r>
        <w:rPr>
          <w:w w:val="105"/>
        </w:rPr>
        <w:t>reported by Seljul </w:t>
      </w:r>
      <w:r>
        <w:rPr>
          <w:i/>
          <w:w w:val="105"/>
        </w:rPr>
        <w:t>et al. </w:t>
      </w:r>
      <w:r>
        <w:rPr>
          <w:w w:val="105"/>
        </w:rPr>
        <w:t>(2014) in Jos, Nigeria. Furthermore, it has been reported that 88% </w:t>
      </w:r>
      <w:r>
        <w:rPr>
          <w:i/>
          <w:w w:val="105"/>
        </w:rPr>
        <w:t>S</w:t>
      </w:r>
      <w:r>
        <w:rPr>
          <w:w w:val="105"/>
        </w:rPr>
        <w:t>. ser. Typhi isolates from Iraq are resistant to ampicillin (Rahman </w:t>
      </w:r>
      <w:r>
        <w:rPr>
          <w:i/>
          <w:w w:val="105"/>
        </w:rPr>
        <w:t>et al., </w:t>
      </w:r>
      <w:r>
        <w:rPr>
          <w:w w:val="105"/>
        </w:rPr>
        <w:t>2014) although</w:t>
      </w:r>
      <w:r>
        <w:rPr>
          <w:spacing w:val="-9"/>
          <w:w w:val="105"/>
        </w:rPr>
        <w:t> </w:t>
      </w:r>
      <w:r>
        <w:rPr>
          <w:w w:val="105"/>
        </w:rPr>
        <w:t>lower</w:t>
      </w:r>
    </w:p>
    <w:p>
      <w:pPr>
        <w:pStyle w:val="BodyText"/>
        <w:tabs>
          <w:tab w:pos="1735" w:val="left" w:leader="none"/>
          <w:tab w:pos="3604" w:val="left" w:leader="none"/>
        </w:tabs>
        <w:spacing w:line="249" w:lineRule="auto" w:before="107"/>
        <w:ind w:left="295" w:right="861"/>
        <w:jc w:val="both"/>
      </w:pPr>
      <w:r>
        <w:rPr/>
        <w:br w:type="column"/>
      </w:r>
      <w:r>
        <w:rPr>
          <w:w w:val="105"/>
        </w:rPr>
        <w:t>ampicillin resistance (15%) among </w:t>
      </w:r>
      <w:r>
        <w:rPr>
          <w:i/>
          <w:w w:val="105"/>
        </w:rPr>
        <w:t>S</w:t>
      </w:r>
      <w:r>
        <w:rPr>
          <w:w w:val="105"/>
        </w:rPr>
        <w:t>. ser. Typhi isolates have been reported in Egypt. This resistance pattern is not surprising as some of the factors that drive resistance such as the widespread</w:t>
      </w:r>
      <w:r>
        <w:rPr>
          <w:rFonts w:ascii="Times New Roman"/>
          <w:w w:val="105"/>
        </w:rPr>
        <w:tab/>
      </w:r>
      <w:r>
        <w:rPr>
          <w:w w:val="105"/>
        </w:rPr>
        <w:t>self-prescription</w:t>
      </w:r>
      <w:r>
        <w:rPr>
          <w:rFonts w:ascii="Times New Roman"/>
          <w:w w:val="105"/>
        </w:rPr>
        <w:tab/>
      </w:r>
      <w:r>
        <w:rPr/>
        <w:t>practice, </w:t>
      </w:r>
      <w:r>
        <w:rPr>
          <w:w w:val="105"/>
        </w:rPr>
        <w:t>incomplete dosage, availability of substandard or adulterated drugs in our markets exposes</w:t>
      </w:r>
      <w:r>
        <w:rPr>
          <w:spacing w:val="-23"/>
          <w:w w:val="105"/>
        </w:rPr>
        <w:t> </w:t>
      </w:r>
      <w:r>
        <w:rPr>
          <w:w w:val="105"/>
        </w:rPr>
        <w:t>the organism to sub lethal doses, thereby acquiring resistance. In all, there were 57 resistance </w:t>
      </w:r>
      <w:r>
        <w:rPr>
          <w:i/>
          <w:w w:val="105"/>
        </w:rPr>
        <w:t>Salmonella </w:t>
      </w:r>
      <w:r>
        <w:rPr>
          <w:w w:val="105"/>
        </w:rPr>
        <w:t>ser</w:t>
      </w:r>
      <w:r>
        <w:rPr>
          <w:i/>
          <w:w w:val="105"/>
        </w:rPr>
        <w:t>. Typhi </w:t>
      </w:r>
      <w:r>
        <w:rPr>
          <w:w w:val="105"/>
        </w:rPr>
        <w:t>phenotypes out of the 84 isolates from the study area. The most common R type in the study area was AmpCCoTet. The isolates with the highest resistance in Yola was </w:t>
      </w:r>
      <w:r>
        <w:rPr>
          <w:i/>
          <w:w w:val="105"/>
        </w:rPr>
        <w:t>Salmonella </w:t>
      </w:r>
      <w:r>
        <w:rPr>
          <w:w w:val="105"/>
        </w:rPr>
        <w:t>serovar Typhi YLA 21 demonstrating resistance to AmpCCoTetCtxCpNa and </w:t>
      </w:r>
      <w:r>
        <w:rPr>
          <w:i/>
          <w:w w:val="105"/>
        </w:rPr>
        <w:t>Salmonella </w:t>
      </w:r>
      <w:r>
        <w:rPr>
          <w:w w:val="105"/>
        </w:rPr>
        <w:t>serovar Typhi GMB 6 showing resistance to AmxAMpCoTetCtxCpNa in Vitro. This implies that some of isolates are like superbugs demonstrating resistance </w:t>
      </w:r>
      <w:r>
        <w:rPr>
          <w:i/>
          <w:w w:val="105"/>
        </w:rPr>
        <w:t>in vitro </w:t>
      </w:r>
      <w:r>
        <w:rPr>
          <w:w w:val="105"/>
        </w:rPr>
        <w:t>to a wide range of antibiotics, thereby raising concerns on the treatment options available (Subramani and Vignesh, 2012; Riaz </w:t>
      </w:r>
      <w:r>
        <w:rPr>
          <w:i/>
          <w:w w:val="105"/>
        </w:rPr>
        <w:t>et al</w:t>
      </w:r>
      <w:r>
        <w:rPr>
          <w:w w:val="105"/>
        </w:rPr>
        <w:t>., 2011).</w:t>
      </w:r>
    </w:p>
    <w:p>
      <w:pPr>
        <w:pStyle w:val="BodyText"/>
        <w:spacing w:line="249" w:lineRule="auto" w:before="21"/>
        <w:ind w:left="295" w:right="861"/>
        <w:jc w:val="both"/>
      </w:pPr>
      <w:r>
        <w:rPr>
          <w:w w:val="105"/>
        </w:rPr>
        <w:t>Antibiotics susceptibility test of isolates revealed that 70% of isolates from Yola and Gombi were multi drug resistant with 49% and 55% being quinolone resistant respectively. These are lower than the 80% reported by Akinyemi </w:t>
      </w:r>
      <w:r>
        <w:rPr>
          <w:i/>
          <w:w w:val="105"/>
        </w:rPr>
        <w:t>et al. </w:t>
      </w:r>
      <w:r>
        <w:rPr>
          <w:w w:val="105"/>
        </w:rPr>
        <w:t>(2007) in Lagos, Nigeria. But higher than the 30.3% reported in Central</w:t>
      </w:r>
      <w:r>
        <w:rPr>
          <w:spacing w:val="-39"/>
          <w:w w:val="105"/>
        </w:rPr>
        <w:t> </w:t>
      </w:r>
      <w:r>
        <w:rPr>
          <w:w w:val="105"/>
        </w:rPr>
        <w:t>Africa (Lunguya </w:t>
      </w:r>
      <w:r>
        <w:rPr>
          <w:i/>
          <w:w w:val="105"/>
        </w:rPr>
        <w:t>et al</w:t>
      </w:r>
      <w:r>
        <w:rPr>
          <w:w w:val="105"/>
        </w:rPr>
        <w:t>., 2012); 66.7% in India (Akhtar</w:t>
      </w:r>
      <w:r>
        <w:rPr>
          <w:spacing w:val="-40"/>
          <w:w w:val="105"/>
        </w:rPr>
        <w:t> </w:t>
      </w:r>
      <w:r>
        <w:rPr>
          <w:i/>
          <w:w w:val="105"/>
        </w:rPr>
        <w:t>et al</w:t>
      </w:r>
      <w:r>
        <w:rPr>
          <w:w w:val="105"/>
        </w:rPr>
        <w:t>., 2015) and 22% reported by Menezes </w:t>
      </w:r>
      <w:r>
        <w:rPr>
          <w:i/>
          <w:w w:val="105"/>
        </w:rPr>
        <w:t>et al</w:t>
      </w:r>
      <w:r>
        <w:rPr>
          <w:w w:val="105"/>
        </w:rPr>
        <w:t>. (2011) in Pondicherry, India between 2005 and 2009.</w:t>
      </w:r>
    </w:p>
    <w:p>
      <w:pPr>
        <w:spacing w:line="249" w:lineRule="auto" w:before="9"/>
        <w:ind w:left="295" w:right="862" w:firstLine="0"/>
        <w:jc w:val="both"/>
        <w:rPr>
          <w:i/>
          <w:sz w:val="18"/>
        </w:rPr>
      </w:pPr>
      <w:r>
        <w:rPr>
          <w:w w:val="105"/>
          <w:sz w:val="18"/>
        </w:rPr>
        <w:t>Screening of the isolates for extended</w:t>
      </w:r>
      <w:r>
        <w:rPr>
          <w:spacing w:val="-21"/>
          <w:w w:val="105"/>
          <w:sz w:val="18"/>
        </w:rPr>
        <w:t> </w:t>
      </w:r>
      <w:r>
        <w:rPr>
          <w:w w:val="105"/>
          <w:sz w:val="18"/>
        </w:rPr>
        <w:t>spectrum beta lactamase activity using the double disk synergy test revealed that </w:t>
      </w:r>
      <w:r>
        <w:rPr>
          <w:i/>
          <w:w w:val="105"/>
          <w:sz w:val="18"/>
        </w:rPr>
        <w:t>Salmonella </w:t>
      </w:r>
      <w:r>
        <w:rPr>
          <w:w w:val="105"/>
          <w:sz w:val="18"/>
        </w:rPr>
        <w:t>enterica </w:t>
      </w:r>
      <w:r>
        <w:rPr>
          <w:i/>
          <w:w w:val="105"/>
          <w:sz w:val="18"/>
        </w:rPr>
        <w:t>Typhi isolates GMB </w:t>
      </w:r>
      <w:r>
        <w:rPr>
          <w:w w:val="105"/>
          <w:sz w:val="18"/>
        </w:rPr>
        <w:t>1, 6, 13, 26 and</w:t>
      </w:r>
      <w:r>
        <w:rPr>
          <w:spacing w:val="52"/>
          <w:w w:val="105"/>
          <w:sz w:val="18"/>
        </w:rPr>
        <w:t> </w:t>
      </w:r>
      <w:r>
        <w:rPr>
          <w:i/>
          <w:w w:val="105"/>
          <w:sz w:val="18"/>
        </w:rPr>
        <w:t>Salmonella</w:t>
      </w:r>
    </w:p>
    <w:p>
      <w:pPr>
        <w:pStyle w:val="BodyText"/>
        <w:spacing w:line="249" w:lineRule="auto" w:before="4"/>
        <w:ind w:left="295" w:right="862"/>
        <w:jc w:val="both"/>
      </w:pPr>
      <w:r>
        <w:rPr>
          <w:w w:val="105"/>
        </w:rPr>
        <w:t>ser</w:t>
      </w:r>
      <w:r>
        <w:rPr>
          <w:i/>
          <w:w w:val="105"/>
        </w:rPr>
        <w:t>. </w:t>
      </w:r>
      <w:r>
        <w:rPr>
          <w:w w:val="105"/>
        </w:rPr>
        <w:t>Typhi YLA 4, 11, 22, 31 and 42 produces the enzyme in vitro. This is not surprising as emergence of ESBL positive isolates have been reported  and  attributed  to  transfer  of </w:t>
      </w:r>
      <w:r>
        <w:rPr>
          <w:spacing w:val="44"/>
          <w:w w:val="105"/>
        </w:rPr>
        <w:t> </w:t>
      </w:r>
      <w:r>
        <w:rPr>
          <w:w w:val="105"/>
        </w:rPr>
        <w:t>ESBL</w:t>
      </w:r>
    </w:p>
    <w:p>
      <w:pPr>
        <w:spacing w:after="0" w:line="249" w:lineRule="auto"/>
        <w:jc w:val="both"/>
        <w:sectPr>
          <w:type w:val="continuous"/>
          <w:pgSz w:w="12240" w:h="15840"/>
          <w:pgMar w:top="1160" w:bottom="280" w:left="1000" w:right="1020"/>
          <w:cols w:num="2" w:equalWidth="0">
            <w:col w:w="4948" w:space="40"/>
            <w:col w:w="5232"/>
          </w:cols>
        </w:sectPr>
      </w:pPr>
    </w:p>
    <w:p>
      <w:pPr>
        <w:pStyle w:val="BodyText"/>
        <w:spacing w:before="6"/>
        <w:rPr>
          <w:sz w:val="9"/>
        </w:rPr>
      </w:pPr>
    </w:p>
    <w:p>
      <w:pPr>
        <w:spacing w:after="0"/>
        <w:rPr>
          <w:sz w:val="9"/>
        </w:rPr>
        <w:sectPr>
          <w:headerReference w:type="default" r:id="rId19"/>
          <w:footerReference w:type="default" r:id="rId20"/>
          <w:pgSz w:w="12240" w:h="15840"/>
          <w:pgMar w:header="961" w:footer="0" w:top="1160" w:bottom="280" w:left="1000" w:right="1020"/>
        </w:sectPr>
      </w:pPr>
    </w:p>
    <w:p>
      <w:pPr>
        <w:pStyle w:val="BodyText"/>
        <w:spacing w:line="249" w:lineRule="auto" w:before="107"/>
        <w:ind w:left="871" w:right="1"/>
        <w:jc w:val="both"/>
      </w:pPr>
      <w:r>
        <w:rPr>
          <w:w w:val="105"/>
        </w:rPr>
        <w:t>genes to </w:t>
      </w:r>
      <w:r>
        <w:rPr>
          <w:i/>
          <w:w w:val="105"/>
        </w:rPr>
        <w:t>S </w:t>
      </w:r>
      <w:r>
        <w:rPr>
          <w:w w:val="105"/>
        </w:rPr>
        <w:t>ser. Typhi from non-Typhi strains (Rahman </w:t>
      </w:r>
      <w:r>
        <w:rPr>
          <w:i/>
          <w:w w:val="105"/>
        </w:rPr>
        <w:t>et al., </w:t>
      </w:r>
      <w:r>
        <w:rPr>
          <w:w w:val="105"/>
        </w:rPr>
        <w:t>2002). ESBLs are typically encoded on large; 80-kb to 300-kb plasmids that can be exchanged between bacterial species although a 23kb self-transmissible plasmid has been implicated in ESBL production in </w:t>
      </w:r>
      <w:r>
        <w:rPr>
          <w:i/>
          <w:w w:val="105"/>
        </w:rPr>
        <w:t>Salmonella ser. Typhi </w:t>
      </w:r>
      <w:r>
        <w:rPr>
          <w:w w:val="105"/>
        </w:rPr>
        <w:t>isolates by Akinyemi</w:t>
      </w:r>
      <w:r>
        <w:rPr>
          <w:spacing w:val="-26"/>
          <w:w w:val="105"/>
        </w:rPr>
        <w:t> </w:t>
      </w:r>
      <w:r>
        <w:rPr>
          <w:i/>
          <w:w w:val="105"/>
        </w:rPr>
        <w:t>et al. </w:t>
      </w:r>
      <w:r>
        <w:rPr>
          <w:w w:val="105"/>
        </w:rPr>
        <w:t>(2015). In many cases, these plasmids also encode other antimicrobial resistance genes as observed in this study. Therefore, it is common for organisms expressing an ESBL to express co- resistances to aminoglycosides, trimethoprim- sulfamethoxazole, and tetracyclines (Jacoby and Medeiros,</w:t>
      </w:r>
      <w:r>
        <w:rPr>
          <w:spacing w:val="-8"/>
          <w:w w:val="105"/>
        </w:rPr>
        <w:t> </w:t>
      </w:r>
      <w:r>
        <w:rPr>
          <w:w w:val="105"/>
        </w:rPr>
        <w:t>1991).</w:t>
      </w:r>
    </w:p>
    <w:p>
      <w:pPr>
        <w:pStyle w:val="BodyText"/>
        <w:spacing w:line="249" w:lineRule="auto" w:before="10"/>
        <w:ind w:left="872" w:right="1"/>
        <w:jc w:val="both"/>
      </w:pPr>
      <w:r>
        <w:rPr>
          <w:w w:val="105"/>
        </w:rPr>
        <w:t>Furthermore, PCR analysis revealed the presence of Bla</w:t>
      </w:r>
      <w:r>
        <w:rPr>
          <w:i/>
          <w:w w:val="105"/>
          <w:vertAlign w:val="subscript"/>
        </w:rPr>
        <w:t>ctx</w:t>
      </w:r>
      <w:r>
        <w:rPr>
          <w:i/>
          <w:w w:val="105"/>
          <w:vertAlign w:val="baseline"/>
        </w:rPr>
        <w:t> </w:t>
      </w:r>
      <w:r>
        <w:rPr>
          <w:w w:val="105"/>
          <w:vertAlign w:val="baseline"/>
        </w:rPr>
        <w:t>gene cluster in 4/25 (16%) </w:t>
      </w:r>
      <w:r>
        <w:rPr>
          <w:spacing w:val="8"/>
          <w:w w:val="105"/>
          <w:vertAlign w:val="baseline"/>
        </w:rPr>
        <w:t> </w:t>
      </w:r>
      <w:r>
        <w:rPr>
          <w:w w:val="105"/>
          <w:vertAlign w:val="baseline"/>
        </w:rPr>
        <w:t>of</w:t>
      </w:r>
    </w:p>
    <w:p>
      <w:pPr>
        <w:pStyle w:val="BodyText"/>
        <w:spacing w:line="249" w:lineRule="auto" w:before="4"/>
        <w:ind w:left="871"/>
        <w:jc w:val="both"/>
      </w:pPr>
      <w:r>
        <w:rPr>
          <w:i/>
          <w:w w:val="105"/>
        </w:rPr>
        <w:t>S</w:t>
      </w:r>
      <w:r>
        <w:rPr>
          <w:w w:val="105"/>
        </w:rPr>
        <w:t>. ser. Typhi isolates. This is higher than the 15.4% incidence reported in Kuwait but lower than the 50% reported in Iraq and 81 % in Lagos among </w:t>
      </w:r>
      <w:r>
        <w:rPr>
          <w:i/>
          <w:w w:val="105"/>
        </w:rPr>
        <w:t>S</w:t>
      </w:r>
      <w:r>
        <w:rPr>
          <w:w w:val="105"/>
        </w:rPr>
        <w:t>. ser. Typhi isolates (Rotimi </w:t>
      </w:r>
      <w:r>
        <w:rPr>
          <w:i/>
          <w:w w:val="105"/>
        </w:rPr>
        <w:t>et al., 2008; </w:t>
      </w:r>
      <w:r>
        <w:rPr>
          <w:w w:val="105"/>
        </w:rPr>
        <w:t>Abdallah </w:t>
      </w:r>
      <w:r>
        <w:rPr>
          <w:i/>
          <w:w w:val="105"/>
        </w:rPr>
        <w:t>et al., </w:t>
      </w:r>
      <w:r>
        <w:rPr>
          <w:w w:val="105"/>
        </w:rPr>
        <w:t>2014 and Akinyemi </w:t>
      </w:r>
      <w:r>
        <w:rPr>
          <w:i/>
          <w:w w:val="105"/>
        </w:rPr>
        <w:t>et</w:t>
      </w:r>
      <w:r>
        <w:rPr>
          <w:i/>
          <w:spacing w:val="-33"/>
          <w:w w:val="105"/>
        </w:rPr>
        <w:t> </w:t>
      </w:r>
      <w:r>
        <w:rPr>
          <w:i/>
          <w:w w:val="105"/>
        </w:rPr>
        <w:t>al., </w:t>
      </w:r>
      <w:r>
        <w:rPr>
          <w:w w:val="105"/>
        </w:rPr>
        <w:t>2015). The gene has been reported to be</w:t>
      </w:r>
      <w:r>
        <w:rPr>
          <w:spacing w:val="-32"/>
          <w:w w:val="105"/>
        </w:rPr>
        <w:t> </w:t>
      </w:r>
      <w:r>
        <w:rPr>
          <w:w w:val="105"/>
        </w:rPr>
        <w:t>absent among  </w:t>
      </w:r>
      <w:r>
        <w:rPr>
          <w:i/>
          <w:w w:val="105"/>
        </w:rPr>
        <w:t>S  </w:t>
      </w:r>
      <w:r>
        <w:rPr>
          <w:w w:val="105"/>
        </w:rPr>
        <w:t>Typhi   isolates  in  the  United  </w:t>
      </w:r>
      <w:r>
        <w:rPr>
          <w:spacing w:val="4"/>
          <w:w w:val="105"/>
        </w:rPr>
        <w:t> </w:t>
      </w:r>
      <w:r>
        <w:rPr>
          <w:w w:val="105"/>
        </w:rPr>
        <w:t>Arab</w:t>
      </w:r>
    </w:p>
    <w:p>
      <w:pPr>
        <w:pStyle w:val="BodyText"/>
        <w:spacing w:before="3"/>
        <w:rPr>
          <w:sz w:val="19"/>
        </w:rPr>
      </w:pPr>
    </w:p>
    <w:p>
      <w:pPr>
        <w:spacing w:before="0"/>
        <w:ind w:left="871" w:right="0" w:firstLine="0"/>
        <w:jc w:val="left"/>
        <w:rPr>
          <w:b/>
          <w:sz w:val="18"/>
        </w:rPr>
      </w:pPr>
      <w:r>
        <w:rPr>
          <w:b/>
          <w:color w:val="00AFF0"/>
          <w:w w:val="105"/>
          <w:sz w:val="18"/>
        </w:rPr>
        <w:t>REFERENCES</w:t>
      </w:r>
    </w:p>
    <w:p>
      <w:pPr>
        <w:spacing w:line="237" w:lineRule="auto" w:before="4"/>
        <w:ind w:left="1548" w:right="1" w:hanging="677"/>
        <w:jc w:val="both"/>
        <w:rPr>
          <w:sz w:val="18"/>
        </w:rPr>
      </w:pPr>
      <w:r>
        <w:rPr>
          <w:sz w:val="18"/>
        </w:rPr>
        <w:t>Abdallah, K. H., Salman A.A. and Ebtahul E. (2014) Molecular study on multi drug resistant </w:t>
      </w:r>
      <w:r>
        <w:rPr>
          <w:i/>
          <w:sz w:val="18"/>
        </w:rPr>
        <w:t>Salmonella entericca </w:t>
      </w:r>
      <w:r>
        <w:rPr>
          <w:sz w:val="18"/>
        </w:rPr>
        <w:t>from patient with enteric fever in Najaf province Iraq. </w:t>
      </w:r>
      <w:r>
        <w:rPr>
          <w:i/>
          <w:sz w:val="18"/>
        </w:rPr>
        <w:t>International Research Journal of Medical Sciences</w:t>
      </w:r>
      <w:r>
        <w:rPr>
          <w:i/>
          <w:spacing w:val="-19"/>
          <w:sz w:val="18"/>
        </w:rPr>
        <w:t> </w:t>
      </w:r>
      <w:r>
        <w:rPr>
          <w:sz w:val="18"/>
        </w:rPr>
        <w:t>2(7):12-16</w:t>
      </w:r>
    </w:p>
    <w:p>
      <w:pPr>
        <w:spacing w:line="237" w:lineRule="auto" w:before="1"/>
        <w:ind w:left="1548" w:right="0" w:hanging="677"/>
        <w:jc w:val="both"/>
        <w:rPr>
          <w:sz w:val="18"/>
        </w:rPr>
      </w:pPr>
      <w:r>
        <w:rPr>
          <w:sz w:val="18"/>
        </w:rPr>
        <w:t>Akhtar, A ., Indu S., Khan, F. and Anjum P.  (2015) Multi-drug Resistant </w:t>
      </w:r>
      <w:r>
        <w:rPr>
          <w:i/>
          <w:sz w:val="18"/>
        </w:rPr>
        <w:t>Salmonella enterica </w:t>
      </w:r>
      <w:r>
        <w:rPr>
          <w:sz w:val="18"/>
        </w:rPr>
        <w:t>Subspecies </w:t>
      </w:r>
      <w:r>
        <w:rPr>
          <w:i/>
          <w:sz w:val="18"/>
        </w:rPr>
        <w:t>enterica </w:t>
      </w:r>
      <w:r>
        <w:rPr>
          <w:sz w:val="18"/>
        </w:rPr>
        <w:t>Serotype Typhi: A Diagnostic and Therapeutic Challenge </w:t>
      </w:r>
      <w:r>
        <w:rPr>
          <w:i/>
          <w:sz w:val="18"/>
        </w:rPr>
        <w:t>International Journal of Current Microbiology and Applied Sciences</w:t>
      </w:r>
      <w:r>
        <w:rPr>
          <w:sz w:val="18"/>
        </w:rPr>
        <w:t>. Special Issue-1:</w:t>
      </w:r>
      <w:r>
        <w:rPr>
          <w:spacing w:val="-7"/>
          <w:sz w:val="18"/>
        </w:rPr>
        <w:t> </w:t>
      </w:r>
      <w:r>
        <w:rPr>
          <w:sz w:val="18"/>
        </w:rPr>
        <w:t>19-25</w:t>
      </w:r>
    </w:p>
    <w:p>
      <w:pPr>
        <w:spacing w:line="237" w:lineRule="auto" w:before="4"/>
        <w:ind w:left="1548" w:right="1" w:hanging="677"/>
        <w:jc w:val="both"/>
        <w:rPr>
          <w:sz w:val="18"/>
        </w:rPr>
      </w:pPr>
      <w:r>
        <w:rPr>
          <w:sz w:val="18"/>
        </w:rPr>
        <w:t>Akinyemi, K. O., Smith, S. I., Oyefolu, A. O., Fasure, K. A., Coker, A. and Akitoye, O. (2007). Trends of Multiple Drug Resistance in </w:t>
      </w:r>
      <w:r>
        <w:rPr>
          <w:i/>
          <w:sz w:val="18"/>
        </w:rPr>
        <w:t>Salmonella enterica </w:t>
      </w:r>
      <w:r>
        <w:rPr>
          <w:sz w:val="18"/>
        </w:rPr>
        <w:t>Serovar Typhi in Lagos, Nigeria, </w:t>
      </w:r>
      <w:r>
        <w:rPr>
          <w:i/>
          <w:sz w:val="18"/>
        </w:rPr>
        <w:t>East and Central African Journal of Surgery</w:t>
      </w:r>
      <w:r>
        <w:rPr>
          <w:sz w:val="18"/>
        </w:rPr>
        <w:t>, </w:t>
      </w:r>
      <w:r>
        <w:rPr>
          <w:b/>
          <w:sz w:val="18"/>
        </w:rPr>
        <w:t>12</w:t>
      </w:r>
      <w:r>
        <w:rPr>
          <w:sz w:val="18"/>
        </w:rPr>
        <w:t>:</w:t>
      </w:r>
      <w:r>
        <w:rPr>
          <w:spacing w:val="-20"/>
          <w:sz w:val="18"/>
        </w:rPr>
        <w:t> </w:t>
      </w:r>
      <w:r>
        <w:rPr>
          <w:sz w:val="18"/>
        </w:rPr>
        <w:t>83-88</w:t>
      </w:r>
    </w:p>
    <w:p>
      <w:pPr>
        <w:pStyle w:val="BodyText"/>
        <w:spacing w:line="237" w:lineRule="auto" w:before="2"/>
        <w:ind w:left="1548" w:right="1" w:hanging="677"/>
        <w:jc w:val="both"/>
        <w:rPr>
          <w:i/>
        </w:rPr>
      </w:pPr>
      <w:r>
        <w:rPr/>
        <w:t>Akinyemi K. O., Iwalokun, B.A., Alafe, O. O., Mudashiru, S. A., and Fakorede, C (2015) </w:t>
      </w:r>
      <w:r>
        <w:rPr>
          <w:i/>
        </w:rPr>
        <w:t>bla</w:t>
      </w:r>
      <w:r>
        <w:rPr>
          <w:vertAlign w:val="subscript"/>
        </w:rPr>
        <w:t>CTX-M-</w:t>
      </w:r>
      <w:r>
        <w:rPr>
          <w:vertAlign w:val="baseline"/>
        </w:rPr>
        <w:t>group extended spectrum beta lactamase-producing </w:t>
      </w:r>
      <w:r>
        <w:rPr>
          <w:i/>
          <w:vertAlign w:val="baseline"/>
        </w:rPr>
        <w:t>Salmonella</w:t>
      </w:r>
    </w:p>
    <w:p>
      <w:pPr>
        <w:spacing w:line="237" w:lineRule="auto" w:before="2"/>
        <w:ind w:left="1548" w:right="2" w:firstLine="0"/>
        <w:jc w:val="both"/>
        <w:rPr>
          <w:sz w:val="18"/>
        </w:rPr>
      </w:pPr>
      <w:r>
        <w:rPr>
          <w:i/>
          <w:sz w:val="18"/>
        </w:rPr>
        <w:t>typhi </w:t>
      </w:r>
      <w:r>
        <w:rPr>
          <w:sz w:val="18"/>
        </w:rPr>
        <w:t>from hospitalized patients in Lagos, Nigeria. </w:t>
      </w:r>
      <w:r>
        <w:rPr>
          <w:i/>
          <w:sz w:val="18"/>
        </w:rPr>
        <w:t>Infection and Drug Resistance. </w:t>
      </w:r>
      <w:r>
        <w:rPr>
          <w:b/>
          <w:sz w:val="18"/>
        </w:rPr>
        <w:t>8 </w:t>
      </w:r>
      <w:r>
        <w:rPr>
          <w:sz w:val="18"/>
        </w:rPr>
        <w:t>99-106</w:t>
      </w:r>
    </w:p>
    <w:p>
      <w:pPr>
        <w:tabs>
          <w:tab w:pos="3502" w:val="left" w:leader="none"/>
        </w:tabs>
        <w:spacing w:line="237" w:lineRule="auto" w:before="1"/>
        <w:ind w:left="1548" w:right="1" w:hanging="677"/>
        <w:jc w:val="both"/>
        <w:rPr>
          <w:sz w:val="18"/>
        </w:rPr>
      </w:pPr>
      <w:r>
        <w:rPr>
          <w:sz w:val="18"/>
        </w:rPr>
        <w:t>Babu, K.V. and Kumari, A. and Kumar, A. and Raghu Kumar, K. G (2013) Role of Imipenem-</w:t>
      </w:r>
      <w:r>
        <w:rPr>
          <w:rFonts w:ascii="Times New Roman"/>
          <w:sz w:val="18"/>
        </w:rPr>
        <w:tab/>
      </w:r>
      <w:r>
        <w:rPr>
          <w:sz w:val="18"/>
        </w:rPr>
        <w:t>resistant metallo- beta-lactamase positive </w:t>
      </w:r>
      <w:r>
        <w:rPr>
          <w:i/>
          <w:sz w:val="18"/>
        </w:rPr>
        <w:t>Pseudomonas aeruginosa </w:t>
      </w:r>
      <w:r>
        <w:rPr>
          <w:sz w:val="18"/>
        </w:rPr>
        <w:t>carriers in nosocomial infections. J</w:t>
      </w:r>
      <w:r>
        <w:rPr>
          <w:i/>
          <w:sz w:val="18"/>
        </w:rPr>
        <w:t>ournal of Natural Science, Biology and Medicine</w:t>
      </w:r>
      <w:r>
        <w:rPr>
          <w:sz w:val="18"/>
        </w:rPr>
        <w:t>. </w:t>
      </w:r>
      <w:r>
        <w:rPr>
          <w:b/>
          <w:sz w:val="18"/>
        </w:rPr>
        <w:t>4</w:t>
      </w:r>
      <w:r>
        <w:rPr>
          <w:sz w:val="18"/>
        </w:rPr>
        <w:t>(1):</w:t>
      </w:r>
      <w:r>
        <w:rPr>
          <w:spacing w:val="-14"/>
          <w:sz w:val="18"/>
        </w:rPr>
        <w:t> </w:t>
      </w:r>
      <w:r>
        <w:rPr>
          <w:sz w:val="18"/>
        </w:rPr>
        <w:t>181-186</w:t>
      </w:r>
    </w:p>
    <w:p>
      <w:pPr>
        <w:pStyle w:val="BodyText"/>
        <w:spacing w:line="237" w:lineRule="auto" w:before="4"/>
        <w:ind w:left="1548" w:right="2" w:hanging="677"/>
        <w:jc w:val="both"/>
      </w:pPr>
      <w:r>
        <w:rPr/>
        <w:pict>
          <v:rect style="position:absolute;margin-left:294.119995pt;margin-top:40.606136pt;width:31.800001pt;height:24.720001pt;mso-position-horizontal-relative:page;mso-position-vertical-relative:paragraph;z-index:-252940288" filled="true" fillcolor="#ffffff" stroked="false">
            <v:fill type="solid"/>
            <w10:wrap type="none"/>
          </v:rect>
        </w:pict>
      </w:r>
      <w:r>
        <w:rPr/>
        <w:t>Ballesté-Delpierre, C., Fàbrega, A., Ferrer- Navarro, M., Ramkumar Mathur, R. Ghosh, S. And Jordi Vila, J. (2016) Attenuation of in vitro</w:t>
      </w:r>
      <w:r>
        <w:rPr>
          <w:spacing w:val="37"/>
        </w:rPr>
        <w:t> </w:t>
      </w:r>
      <w:r>
        <w:rPr/>
        <w:t>host–pathogen</w:t>
      </w:r>
    </w:p>
    <w:p>
      <w:pPr>
        <w:pStyle w:val="BodyText"/>
        <w:spacing w:line="249" w:lineRule="auto" w:before="107"/>
        <w:ind w:left="295" w:right="861"/>
        <w:jc w:val="both"/>
      </w:pPr>
      <w:r>
        <w:rPr/>
        <w:br w:type="column"/>
      </w:r>
      <w:r>
        <w:rPr>
          <w:w w:val="105"/>
        </w:rPr>
        <w:t>Emirate (Rotimi </w:t>
      </w:r>
      <w:r>
        <w:rPr>
          <w:i/>
          <w:w w:val="105"/>
        </w:rPr>
        <w:t>et al., </w:t>
      </w:r>
      <w:r>
        <w:rPr>
          <w:w w:val="105"/>
        </w:rPr>
        <w:t>2008). The detection of some strains with resistance to ceftriaxone as well as ability to produce the ESBL is an early warning sign indicating the need for more controlled use of this drug in the country and in the study area.</w:t>
      </w:r>
    </w:p>
    <w:p>
      <w:pPr>
        <w:pStyle w:val="BodyText"/>
        <w:spacing w:before="1"/>
        <w:rPr>
          <w:sz w:val="19"/>
        </w:rPr>
      </w:pPr>
    </w:p>
    <w:p>
      <w:pPr>
        <w:spacing w:before="1"/>
        <w:ind w:left="295" w:right="0" w:firstLine="0"/>
        <w:jc w:val="left"/>
        <w:rPr>
          <w:b/>
          <w:sz w:val="18"/>
        </w:rPr>
      </w:pPr>
      <w:r>
        <w:rPr>
          <w:b/>
          <w:color w:val="00AFF0"/>
          <w:w w:val="105"/>
          <w:sz w:val="18"/>
        </w:rPr>
        <w:t>CONCLUSION</w:t>
      </w:r>
    </w:p>
    <w:p>
      <w:pPr>
        <w:pStyle w:val="BodyText"/>
        <w:spacing w:line="249" w:lineRule="auto" w:before="9"/>
        <w:ind w:left="295" w:right="862"/>
        <w:jc w:val="both"/>
      </w:pPr>
      <w:r>
        <w:rPr>
          <w:w w:val="105"/>
        </w:rPr>
        <w:t>The emergence of antimicrobial resistance among </w:t>
      </w:r>
      <w:r>
        <w:rPr>
          <w:i/>
          <w:w w:val="105"/>
        </w:rPr>
        <w:t>Salmonella </w:t>
      </w:r>
      <w:r>
        <w:rPr>
          <w:w w:val="105"/>
        </w:rPr>
        <w:t>ser</w:t>
      </w:r>
      <w:r>
        <w:rPr>
          <w:i/>
          <w:w w:val="105"/>
        </w:rPr>
        <w:t>. Typhi </w:t>
      </w:r>
      <w:r>
        <w:rPr>
          <w:w w:val="105"/>
        </w:rPr>
        <w:t>is a global problem that deserves attention. This is becoming more urgent due to the emergence</w:t>
      </w:r>
      <w:r>
        <w:rPr>
          <w:spacing w:val="-17"/>
          <w:w w:val="105"/>
        </w:rPr>
        <w:t> </w:t>
      </w:r>
      <w:r>
        <w:rPr>
          <w:w w:val="105"/>
        </w:rPr>
        <w:t>of isolates demonstrating resistant to all the first line drugs as well as reduced susceptibility to quinolone and resistance to the third- generation cephalosporin ceftriaxone. The detection of some strains with resistance to ceftriaxone as well as ability to produce the ESBL is a wake-up call to all and sundry on the need to prescribed and use antibiotics on needs basis.</w:t>
      </w:r>
    </w:p>
    <w:p>
      <w:pPr>
        <w:pStyle w:val="BodyText"/>
        <w:rPr>
          <w:sz w:val="22"/>
        </w:rPr>
      </w:pPr>
    </w:p>
    <w:p>
      <w:pPr>
        <w:pStyle w:val="BodyText"/>
        <w:rPr>
          <w:sz w:val="22"/>
        </w:rPr>
      </w:pPr>
    </w:p>
    <w:p>
      <w:pPr>
        <w:spacing w:line="237" w:lineRule="auto" w:before="147"/>
        <w:ind w:left="972" w:right="863" w:firstLine="0"/>
        <w:jc w:val="both"/>
        <w:rPr>
          <w:sz w:val="18"/>
        </w:rPr>
      </w:pPr>
      <w:r>
        <w:rPr>
          <w:sz w:val="18"/>
        </w:rPr>
        <w:t>interactions in quinolone-resistant Salmonella Typhi mutants. </w:t>
      </w:r>
      <w:r>
        <w:rPr>
          <w:i/>
          <w:sz w:val="18"/>
        </w:rPr>
        <w:t>Journal of Antimicrobial Chemotherapy. </w:t>
      </w:r>
      <w:r>
        <w:rPr>
          <w:sz w:val="18"/>
        </w:rPr>
        <w:t>71(1):111–</w:t>
      </w:r>
    </w:p>
    <w:p>
      <w:pPr>
        <w:pStyle w:val="BodyText"/>
        <w:spacing w:line="208" w:lineRule="exact" w:before="2"/>
        <w:ind w:left="972"/>
      </w:pPr>
      <w:r>
        <w:rPr/>
        <w:t>122,</w:t>
      </w:r>
    </w:p>
    <w:p>
      <w:pPr>
        <w:spacing w:line="237" w:lineRule="auto" w:before="0"/>
        <w:ind w:left="972" w:right="863" w:hanging="677"/>
        <w:jc w:val="both"/>
        <w:rPr>
          <w:sz w:val="18"/>
        </w:rPr>
      </w:pPr>
      <w:r>
        <w:rPr>
          <w:sz w:val="18"/>
        </w:rPr>
        <w:t>Chessbrough, M. (2006). District laboratory practice in tropical Countries 2</w:t>
      </w:r>
      <w:r>
        <w:rPr>
          <w:sz w:val="18"/>
          <w:vertAlign w:val="superscript"/>
        </w:rPr>
        <w:t>nd</w:t>
      </w:r>
      <w:r>
        <w:rPr>
          <w:sz w:val="18"/>
          <w:vertAlign w:val="baseline"/>
        </w:rPr>
        <w:t> edn (2) </w:t>
      </w:r>
      <w:r>
        <w:rPr>
          <w:i/>
          <w:sz w:val="18"/>
          <w:vertAlign w:val="baseline"/>
        </w:rPr>
        <w:t>Cambridge University Press </w:t>
      </w:r>
      <w:r>
        <w:rPr>
          <w:sz w:val="18"/>
          <w:vertAlign w:val="baseline"/>
        </w:rPr>
        <w:t>UK. pp 182- 187</w:t>
      </w:r>
    </w:p>
    <w:p>
      <w:pPr>
        <w:pStyle w:val="BodyText"/>
        <w:tabs>
          <w:tab w:pos="1648" w:val="left" w:leader="none"/>
          <w:tab w:pos="2325" w:val="left" w:leader="none"/>
        </w:tabs>
        <w:spacing w:line="237" w:lineRule="auto" w:before="1"/>
        <w:ind w:left="972" w:right="863" w:hanging="677"/>
        <w:jc w:val="both"/>
      </w:pPr>
      <w:r>
        <w:rPr/>
        <w:t>Clark, T. W., Daneshvar, C., Pareek, M., Perera, N., Stephenson, I. (2010). Enteric fever</w:t>
      </w:r>
      <w:r>
        <w:rPr>
          <w:spacing w:val="-17"/>
        </w:rPr>
        <w:t> </w:t>
      </w:r>
      <w:r>
        <w:rPr/>
        <w:t>in a</w:t>
      </w:r>
      <w:r>
        <w:rPr>
          <w:rFonts w:ascii="Times New Roman"/>
        </w:rPr>
        <w:tab/>
      </w:r>
      <w:r>
        <w:rPr/>
        <w:t>UK regional infectious diseases unit: A 10 year retrospective review. </w:t>
      </w:r>
      <w:r>
        <w:rPr>
          <w:i/>
        </w:rPr>
        <w:t>Journal</w:t>
      </w:r>
      <w:r>
        <w:rPr>
          <w:i/>
          <w:spacing w:val="-6"/>
        </w:rPr>
        <w:t> </w:t>
      </w:r>
      <w:r>
        <w:rPr>
          <w:i/>
        </w:rPr>
        <w:t>of</w:t>
      </w:r>
      <w:r>
        <w:rPr>
          <w:rFonts w:ascii="Times New Roman"/>
        </w:rPr>
        <w:tab/>
      </w:r>
      <w:r>
        <w:rPr>
          <w:i/>
        </w:rPr>
        <w:t>Infection </w:t>
      </w:r>
      <w:r>
        <w:rPr>
          <w:b/>
        </w:rPr>
        <w:t>60 </w:t>
      </w:r>
      <w:r>
        <w:rPr/>
        <w:t>(2):</w:t>
      </w:r>
      <w:r>
        <w:rPr>
          <w:spacing w:val="-14"/>
        </w:rPr>
        <w:t> </w:t>
      </w:r>
      <w:r>
        <w:rPr/>
        <w:t>91-98.</w:t>
      </w:r>
    </w:p>
    <w:p>
      <w:pPr>
        <w:pStyle w:val="BodyText"/>
        <w:spacing w:line="237" w:lineRule="auto" w:before="4"/>
        <w:ind w:left="972" w:right="863" w:hanging="677"/>
        <w:jc w:val="both"/>
      </w:pPr>
      <w:r>
        <w:rPr/>
        <w:t>CLSI (2012). Performance Standards for Antimicrobial Susceptibility Testing; 21st Informational Supplement. CLSI</w:t>
      </w:r>
      <w:r>
        <w:rPr>
          <w:spacing w:val="-37"/>
        </w:rPr>
        <w:t> </w:t>
      </w:r>
      <w:r>
        <w:rPr/>
        <w:t>Document Wayne, Pennsylvania,</w:t>
      </w:r>
      <w:r>
        <w:rPr>
          <w:spacing w:val="-5"/>
        </w:rPr>
        <w:t> </w:t>
      </w:r>
      <w:r>
        <w:rPr/>
        <w:t>USA</w:t>
      </w:r>
    </w:p>
    <w:p>
      <w:pPr>
        <w:pStyle w:val="BodyText"/>
        <w:spacing w:line="235" w:lineRule="auto" w:before="5"/>
        <w:ind w:left="972" w:right="863" w:hanging="677"/>
        <w:jc w:val="both"/>
      </w:pPr>
      <w:r>
        <w:rPr/>
        <w:t>FAO (Food and Agricultural Organization (2011) Available @ http// </w:t>
      </w:r>
      <w:hyperlink r:id="rId21">
        <w:r>
          <w:rPr>
            <w:u w:val="single"/>
          </w:rPr>
          <w:t>www.fao.org</w:t>
        </w:r>
      </w:hyperlink>
    </w:p>
    <w:p>
      <w:pPr>
        <w:spacing w:line="237" w:lineRule="auto" w:before="1"/>
        <w:ind w:left="972" w:right="862" w:hanging="677"/>
        <w:jc w:val="both"/>
        <w:rPr>
          <w:sz w:val="18"/>
        </w:rPr>
      </w:pPr>
      <w:r>
        <w:rPr>
          <w:sz w:val="18"/>
        </w:rPr>
        <w:t>Festus, A. O. (2014) Evaluation of Diagnostic methods for typhoid fever disease in Ondo State Nigeria. </w:t>
      </w:r>
      <w:r>
        <w:rPr>
          <w:i/>
          <w:sz w:val="18"/>
        </w:rPr>
        <w:t>British Journal of Medicine and Medical Research</w:t>
      </w:r>
      <w:r>
        <w:rPr>
          <w:b/>
          <w:sz w:val="18"/>
        </w:rPr>
        <w:t>. 4</w:t>
      </w:r>
      <w:r>
        <w:rPr>
          <w:sz w:val="18"/>
        </w:rPr>
        <w:t>(36) 5812-5817</w:t>
      </w:r>
    </w:p>
    <w:p>
      <w:pPr>
        <w:spacing w:line="240" w:lineRule="auto" w:before="1"/>
        <w:ind w:left="972" w:right="860" w:hanging="677"/>
        <w:jc w:val="both"/>
        <w:rPr>
          <w:sz w:val="18"/>
        </w:rPr>
      </w:pPr>
      <w:r>
        <w:rPr>
          <w:sz w:val="18"/>
        </w:rPr>
        <w:t>Jacoby, G. A., and Medeiros, A. A. (1991): More extended-spectrum beta-lactamases. </w:t>
      </w:r>
      <w:r>
        <w:rPr>
          <w:i/>
          <w:sz w:val="18"/>
        </w:rPr>
        <w:t>Antimicrobial Agents and Chemotherapy </w:t>
      </w:r>
      <w:r>
        <w:rPr>
          <w:b/>
          <w:sz w:val="18"/>
        </w:rPr>
        <w:t>35</w:t>
      </w:r>
      <w:r>
        <w:rPr>
          <w:sz w:val="18"/>
        </w:rPr>
        <w:t>, 1697-704.</w:t>
      </w:r>
    </w:p>
    <w:p>
      <w:pPr>
        <w:pStyle w:val="BodyText"/>
        <w:spacing w:line="237" w:lineRule="auto"/>
        <w:ind w:left="972" w:right="860" w:hanging="677"/>
        <w:jc w:val="both"/>
      </w:pPr>
      <w:r>
        <w:rPr/>
        <w:t>Lunguya O., Lejon V., Phoba M., Bertrand S., Vanhoof, R., Verhaegen J., Smith A. M., Keddy K.H., Jean Jacques M. and Jacobs</w:t>
      </w:r>
      <w:r>
        <w:rPr>
          <w:spacing w:val="-38"/>
        </w:rPr>
        <w:t> </w:t>
      </w:r>
      <w:r>
        <w:rPr/>
        <w:t>J (2012). </w:t>
      </w:r>
      <w:r>
        <w:rPr>
          <w:i/>
        </w:rPr>
        <w:t>Salmonella ser. Typhi </w:t>
      </w:r>
      <w:r>
        <w:rPr/>
        <w:t>in the democratic republic of the Congo: Fluoroquinolone decreased Susceptibility on the rise </w:t>
      </w:r>
      <w:r>
        <w:rPr>
          <w:i/>
        </w:rPr>
        <w:t>PLOS Neglected Tropical Diseases </w:t>
      </w:r>
      <w:r>
        <w:rPr>
          <w:b/>
        </w:rPr>
        <w:t>6</w:t>
      </w:r>
      <w:r>
        <w:rPr/>
        <w:t>(11):e1921</w:t>
      </w:r>
    </w:p>
    <w:p>
      <w:pPr>
        <w:pStyle w:val="BodyText"/>
        <w:spacing w:line="237" w:lineRule="auto"/>
        <w:ind w:left="972" w:right="863" w:hanging="677"/>
        <w:jc w:val="both"/>
      </w:pPr>
      <w:r>
        <w:rPr/>
        <w:t>Malini R. Capoor, Deepthi N., Jitendra P., Smita S., Monorama D.,Aggarwal, P. and Pillai,</w:t>
      </w:r>
    </w:p>
    <w:p>
      <w:pPr>
        <w:spacing w:after="0" w:line="237" w:lineRule="auto"/>
        <w:jc w:val="both"/>
        <w:sectPr>
          <w:type w:val="continuous"/>
          <w:pgSz w:w="12240" w:h="15840"/>
          <w:pgMar w:top="1160" w:bottom="280" w:left="1000" w:right="1020"/>
          <w:cols w:num="2" w:equalWidth="0">
            <w:col w:w="4948" w:space="40"/>
            <w:col w:w="5232"/>
          </w:cols>
        </w:sectPr>
      </w:pPr>
    </w:p>
    <w:p>
      <w:pPr>
        <w:pStyle w:val="Heading3"/>
        <w:tabs>
          <w:tab w:pos="5306" w:val="right" w:leader="none"/>
        </w:tabs>
        <w:spacing w:line="240" w:lineRule="auto" w:before="19"/>
        <w:ind w:left="871"/>
        <w:rPr>
          <w:rFonts w:ascii="Calibri"/>
          <w:b w:val="0"/>
          <w:i w:val="0"/>
          <w:sz w:val="20"/>
        </w:rPr>
      </w:pPr>
      <w:r>
        <w:rPr>
          <w:i/>
          <w:color w:val="C00000"/>
          <w:w w:val="105"/>
        </w:rPr>
        <w:t>UMYU Journal of</w:t>
      </w:r>
      <w:r>
        <w:rPr>
          <w:i/>
          <w:color w:val="C00000"/>
          <w:spacing w:val="-2"/>
          <w:w w:val="105"/>
        </w:rPr>
        <w:t> </w:t>
      </w:r>
      <w:r>
        <w:rPr>
          <w:i/>
          <w:color w:val="C00000"/>
          <w:w w:val="105"/>
        </w:rPr>
        <w:t>Microbiology Research</w:t>
        <w:tab/>
      </w:r>
      <w:r>
        <w:rPr>
          <w:rFonts w:ascii="Calibri"/>
          <w:b w:val="0"/>
          <w:i w:val="0"/>
          <w:w w:val="105"/>
          <w:position w:val="-5"/>
          <w:sz w:val="20"/>
        </w:rPr>
        <w:t>53</w:t>
      </w:r>
    </w:p>
    <w:p>
      <w:pPr>
        <w:pStyle w:val="Heading3"/>
        <w:spacing w:line="240" w:lineRule="auto" w:before="19"/>
        <w:ind w:left="871"/>
        <w:rPr>
          <w:i/>
        </w:rPr>
      </w:pPr>
      <w:r>
        <w:rPr>
          <w:b w:val="0"/>
          <w:i w:val="0"/>
        </w:rPr>
        <w:br w:type="column"/>
      </w:r>
      <w:hyperlink r:id="rId9">
        <w:r>
          <w:rPr>
            <w:i/>
            <w:color w:val="C00000"/>
            <w:w w:val="105"/>
          </w:rPr>
          <w:t>www.ujmr.umyu.edu.ng</w:t>
        </w:r>
      </w:hyperlink>
    </w:p>
    <w:p>
      <w:pPr>
        <w:spacing w:after="0" w:line="240" w:lineRule="auto"/>
        <w:sectPr>
          <w:type w:val="continuous"/>
          <w:pgSz w:w="12240" w:h="15840"/>
          <w:pgMar w:top="1160" w:bottom="280" w:left="1000" w:right="1020"/>
          <w:cols w:num="2" w:equalWidth="0">
            <w:col w:w="5347" w:space="792"/>
            <w:col w:w="4081"/>
          </w:cols>
        </w:sectPr>
      </w:pPr>
    </w:p>
    <w:p>
      <w:pPr>
        <w:pStyle w:val="BodyText"/>
        <w:spacing w:before="2"/>
        <w:rPr>
          <w:rFonts w:ascii="Times New Roman"/>
          <w:b/>
          <w:i/>
        </w:rPr>
      </w:pPr>
    </w:p>
    <w:p>
      <w:pPr>
        <w:spacing w:line="237" w:lineRule="auto" w:before="1"/>
        <w:ind w:left="1548" w:right="1" w:firstLine="0"/>
        <w:jc w:val="both"/>
        <w:rPr>
          <w:sz w:val="18"/>
        </w:rPr>
      </w:pPr>
      <w:r>
        <w:rPr>
          <w:sz w:val="18"/>
        </w:rPr>
        <w:t>P. (2009) Minimum inhibitory concentration of carbapenems and tigecycline against </w:t>
      </w:r>
      <w:r>
        <w:rPr>
          <w:i/>
          <w:sz w:val="18"/>
        </w:rPr>
        <w:t>Salmonella </w:t>
      </w:r>
      <w:r>
        <w:rPr>
          <w:sz w:val="18"/>
        </w:rPr>
        <w:t>spp. </w:t>
      </w:r>
      <w:r>
        <w:rPr>
          <w:i/>
          <w:sz w:val="18"/>
        </w:rPr>
        <w:t>Journal of Medicine and Microbiology </w:t>
      </w:r>
      <w:r>
        <w:rPr>
          <w:b/>
          <w:sz w:val="18"/>
        </w:rPr>
        <w:t>58</w:t>
      </w:r>
      <w:r>
        <w:rPr>
          <w:sz w:val="18"/>
        </w:rPr>
        <w:t>: 337-341</w:t>
      </w:r>
    </w:p>
    <w:p>
      <w:pPr>
        <w:spacing w:line="237" w:lineRule="auto" w:before="0"/>
        <w:ind w:left="1548" w:right="0" w:hanging="677"/>
        <w:jc w:val="both"/>
        <w:rPr>
          <w:i/>
          <w:sz w:val="18"/>
        </w:rPr>
      </w:pPr>
      <w:r>
        <w:rPr>
          <w:sz w:val="18"/>
        </w:rPr>
        <w:t>Marks,  F,   Adu-Sarkodie,   Y,   Hünger,   F (2010). Typhoid fever among children in Ghana. </w:t>
      </w:r>
      <w:r>
        <w:rPr>
          <w:i/>
          <w:sz w:val="18"/>
        </w:rPr>
        <w:t>Emerging Infectious</w:t>
      </w:r>
      <w:r>
        <w:rPr>
          <w:i/>
          <w:spacing w:val="1"/>
          <w:sz w:val="18"/>
        </w:rPr>
        <w:t> </w:t>
      </w:r>
      <w:r>
        <w:rPr>
          <w:i/>
          <w:sz w:val="18"/>
        </w:rPr>
        <w:t>Disease</w:t>
      </w:r>
    </w:p>
    <w:p>
      <w:pPr>
        <w:pStyle w:val="BodyText"/>
        <w:spacing w:line="208" w:lineRule="exact" w:before="1"/>
        <w:ind w:left="1548"/>
        <w:jc w:val="both"/>
      </w:pPr>
      <w:r>
        <w:rPr/>
        <w:t>.16: 1796–1797</w:t>
      </w:r>
    </w:p>
    <w:p>
      <w:pPr>
        <w:pStyle w:val="BodyText"/>
        <w:tabs>
          <w:tab w:pos="1819" w:val="left" w:leader="none"/>
          <w:tab w:pos="2451" w:val="left" w:leader="none"/>
          <w:tab w:pos="2902" w:val="left" w:leader="none"/>
          <w:tab w:pos="3228" w:val="left" w:leader="none"/>
          <w:tab w:pos="3850" w:val="left" w:leader="none"/>
          <w:tab w:pos="4515" w:val="left" w:leader="none"/>
        </w:tabs>
        <w:spacing w:line="237" w:lineRule="auto"/>
        <w:ind w:left="1548" w:hanging="677"/>
      </w:pPr>
      <w:r>
        <w:rPr/>
        <w:t>Menezes,</w:t>
      </w:r>
      <w:r>
        <w:rPr>
          <w:rFonts w:ascii="Times New Roman" w:hAnsi="Times New Roman"/>
        </w:rPr>
        <w:tab/>
      </w:r>
      <w:r>
        <w:rPr/>
        <w:t>G.A.,</w:t>
      </w:r>
      <w:r>
        <w:rPr>
          <w:rFonts w:ascii="Times New Roman" w:hAnsi="Times New Roman"/>
        </w:rPr>
        <w:tab/>
      </w:r>
      <w:r>
        <w:rPr/>
        <w:t>Harish,</w:t>
      </w:r>
      <w:r>
        <w:rPr>
          <w:rFonts w:ascii="Times New Roman" w:hAnsi="Times New Roman"/>
        </w:rPr>
        <w:tab/>
      </w:r>
      <w:r>
        <w:rPr/>
        <w:t>B.N.,</w:t>
      </w:r>
      <w:r>
        <w:rPr>
          <w:rFonts w:ascii="Times New Roman" w:hAnsi="Times New Roman"/>
        </w:rPr>
        <w:tab/>
      </w:r>
      <w:r>
        <w:rPr/>
        <w:t>Khan,</w:t>
      </w:r>
      <w:r>
        <w:rPr>
          <w:rFonts w:ascii="Times New Roman" w:hAnsi="Times New Roman"/>
        </w:rPr>
        <w:tab/>
      </w:r>
      <w:r>
        <w:rPr>
          <w:spacing w:val="-4"/>
        </w:rPr>
        <w:t>M.A., </w:t>
      </w:r>
      <w:r>
        <w:rPr/>
        <w:t>Goessens, W.H.F. and Hays, J.P. (2011). Antimicrobial resistance trends in blood culture positive </w:t>
      </w:r>
      <w:r>
        <w:rPr>
          <w:i/>
        </w:rPr>
        <w:t>Salmonella ser. Typhi </w:t>
      </w:r>
      <w:r>
        <w:rPr/>
        <w:t>isolates from Pondicherry, India, 2005– 2009. </w:t>
      </w:r>
      <w:r>
        <w:rPr>
          <w:i/>
        </w:rPr>
        <w:t>Clinical Microbiology and Infection </w:t>
      </w:r>
      <w:r>
        <w:rPr/>
        <w:t>Available</w:t>
      </w:r>
      <w:r>
        <w:rPr>
          <w:rFonts w:ascii="Times New Roman" w:hAnsi="Times New Roman"/>
        </w:rPr>
        <w:tab/>
        <w:tab/>
      </w:r>
      <w:r>
        <w:rPr/>
        <w:t>from: </w:t>
      </w:r>
      <w:hyperlink r:id="rId24">
        <w:r>
          <w:rPr>
            <w:w w:val="95"/>
            <w:u w:val="single"/>
          </w:rPr>
          <w:t>http://onlinelibrary.wiley.com/doi/10.11</w:t>
        </w:r>
      </w:hyperlink>
      <w:r>
        <w:rPr>
          <w:w w:val="95"/>
        </w:rPr>
        <w:t> </w:t>
      </w:r>
      <w:r>
        <w:rPr>
          <w:u w:val="single"/>
        </w:rPr>
        <w:t>11/j.1469-</w:t>
      </w:r>
      <w:r>
        <w:rPr>
          <w:rFonts w:ascii="Times New Roman" w:hAnsi="Times New Roman"/>
        </w:rPr>
        <w:tab/>
        <w:tab/>
      </w:r>
      <w:r>
        <w:rPr/>
        <w:t>0691.2011.03546.x</w:t>
      </w:r>
    </w:p>
    <w:p>
      <w:pPr>
        <w:pStyle w:val="BodyText"/>
        <w:spacing w:line="237" w:lineRule="auto" w:before="5"/>
        <w:ind w:left="1548" w:hanging="677"/>
      </w:pPr>
      <w:r>
        <w:rPr/>
        <w:t>MICS (2011) Nigeria multiple indicator Cluster survey 2011 Main Report pp 91-118</w:t>
      </w:r>
    </w:p>
    <w:p>
      <w:pPr>
        <w:tabs>
          <w:tab w:pos="2604" w:val="left" w:leader="none"/>
          <w:tab w:pos="3867" w:val="left" w:leader="none"/>
          <w:tab w:pos="4781" w:val="left" w:leader="none"/>
        </w:tabs>
        <w:spacing w:line="237" w:lineRule="auto" w:before="0"/>
        <w:ind w:left="1548" w:right="0" w:hanging="677"/>
        <w:jc w:val="both"/>
        <w:rPr>
          <w:sz w:val="18"/>
        </w:rPr>
      </w:pPr>
      <w:r>
        <w:rPr>
          <w:sz w:val="18"/>
        </w:rPr>
        <w:t>Mirmomeni, M.H., Colagar, A.H. and Ghazaey, S. (2007).</w:t>
      </w:r>
      <w:r>
        <w:rPr>
          <w:rFonts w:ascii="Times New Roman"/>
          <w:sz w:val="18"/>
        </w:rPr>
        <w:tab/>
      </w:r>
      <w:r>
        <w:rPr>
          <w:sz w:val="18"/>
        </w:rPr>
        <w:t>Molecular</w:t>
      </w:r>
      <w:r>
        <w:rPr>
          <w:rFonts w:ascii="Times New Roman"/>
          <w:sz w:val="18"/>
        </w:rPr>
        <w:tab/>
      </w:r>
      <w:r>
        <w:rPr>
          <w:sz w:val="18"/>
        </w:rPr>
        <w:t>study</w:t>
      </w:r>
      <w:r>
        <w:rPr>
          <w:rFonts w:ascii="Times New Roman"/>
          <w:sz w:val="18"/>
        </w:rPr>
        <w:tab/>
      </w:r>
      <w:r>
        <w:rPr>
          <w:spacing w:val="-8"/>
          <w:sz w:val="18"/>
        </w:rPr>
        <w:t>of </w:t>
      </w:r>
      <w:r>
        <w:rPr>
          <w:i/>
          <w:sz w:val="18"/>
        </w:rPr>
        <w:t>Salmonella</w:t>
      </w:r>
      <w:r>
        <w:rPr>
          <w:sz w:val="18"/>
        </w:rPr>
        <w:t>enteritidis in poultry samples by pcr, plasmid curing, antibiotic resistance and protein pattern analysis. </w:t>
      </w:r>
      <w:r>
        <w:rPr>
          <w:i/>
          <w:sz w:val="18"/>
        </w:rPr>
        <w:t>Pakistani Journal of Biological Sciences </w:t>
      </w:r>
      <w:r>
        <w:rPr>
          <w:b/>
          <w:sz w:val="18"/>
        </w:rPr>
        <w:t>10</w:t>
      </w:r>
      <w:r>
        <w:rPr>
          <w:sz w:val="18"/>
        </w:rPr>
        <w:t>:</w:t>
      </w:r>
      <w:r>
        <w:rPr>
          <w:spacing w:val="-3"/>
          <w:sz w:val="18"/>
        </w:rPr>
        <w:t> </w:t>
      </w:r>
      <w:r>
        <w:rPr>
          <w:sz w:val="18"/>
        </w:rPr>
        <w:t>1562-1570</w:t>
      </w:r>
    </w:p>
    <w:p>
      <w:pPr>
        <w:spacing w:line="237" w:lineRule="auto" w:before="3"/>
        <w:ind w:left="1548" w:right="0" w:hanging="677"/>
        <w:jc w:val="both"/>
        <w:rPr>
          <w:sz w:val="18"/>
        </w:rPr>
      </w:pPr>
      <w:r>
        <w:rPr>
          <w:sz w:val="18"/>
        </w:rPr>
        <w:t>Mushtaq MA. (2006) What after ciprofloxacin and ceftriaxone in treatment of </w:t>
      </w:r>
      <w:r>
        <w:rPr>
          <w:i/>
          <w:sz w:val="18"/>
        </w:rPr>
        <w:t>Salmonella </w:t>
      </w:r>
      <w:r>
        <w:rPr>
          <w:sz w:val="18"/>
        </w:rPr>
        <w:t>typhi?. </w:t>
      </w:r>
      <w:r>
        <w:rPr>
          <w:i/>
          <w:sz w:val="18"/>
        </w:rPr>
        <w:t>Pakistan Journal Medical Science: </w:t>
      </w:r>
      <w:r>
        <w:rPr>
          <w:b/>
          <w:sz w:val="18"/>
        </w:rPr>
        <w:t>22</w:t>
      </w:r>
      <w:r>
        <w:rPr>
          <w:sz w:val="18"/>
        </w:rPr>
        <w:t>: 51–54</w:t>
      </w:r>
    </w:p>
    <w:p>
      <w:pPr>
        <w:pStyle w:val="BodyText"/>
        <w:spacing w:line="208" w:lineRule="exact" w:before="1"/>
        <w:ind w:left="872"/>
        <w:jc w:val="both"/>
      </w:pPr>
      <w:r>
        <w:rPr/>
        <w:t>NPC (2006) FEDERAL REPUBLIC OF NIGERIA: 2006</w:t>
      </w:r>
    </w:p>
    <w:p>
      <w:pPr>
        <w:tabs>
          <w:tab w:pos="3120" w:val="left" w:leader="none"/>
          <w:tab w:pos="4445" w:val="left" w:leader="none"/>
        </w:tabs>
        <w:spacing w:line="240" w:lineRule="auto" w:before="0"/>
        <w:ind w:left="1548" w:right="0" w:firstLine="0"/>
        <w:jc w:val="both"/>
        <w:rPr>
          <w:i/>
          <w:sz w:val="18"/>
        </w:rPr>
      </w:pPr>
      <w:r>
        <w:rPr>
          <w:sz w:val="18"/>
        </w:rPr>
        <w:t>Population</w:t>
      </w:r>
      <w:r>
        <w:rPr>
          <w:rFonts w:ascii="Times New Roman"/>
          <w:sz w:val="18"/>
        </w:rPr>
        <w:tab/>
      </w:r>
      <w:r>
        <w:rPr>
          <w:sz w:val="18"/>
        </w:rPr>
        <w:t>Census"</w:t>
      </w:r>
      <w:r>
        <w:rPr>
          <w:rFonts w:ascii="Times New Roman"/>
          <w:sz w:val="18"/>
        </w:rPr>
        <w:tab/>
      </w:r>
      <w:r>
        <w:rPr>
          <w:spacing w:val="-4"/>
          <w:sz w:val="18"/>
        </w:rPr>
        <w:t>(PDF). </w:t>
      </w:r>
      <w:r>
        <w:rPr>
          <w:i/>
          <w:sz w:val="18"/>
        </w:rPr>
        <w:t>Web.archive.org. Archived from the original (PDF) on 5 March 2012. Retrieved 25 July</w:t>
      </w:r>
      <w:r>
        <w:rPr>
          <w:i/>
          <w:spacing w:val="-3"/>
          <w:sz w:val="18"/>
        </w:rPr>
        <w:t> </w:t>
      </w:r>
      <w:r>
        <w:rPr>
          <w:i/>
          <w:sz w:val="18"/>
        </w:rPr>
        <w:t>2016.</w:t>
      </w:r>
    </w:p>
    <w:p>
      <w:pPr>
        <w:pStyle w:val="BodyText"/>
        <w:tabs>
          <w:tab w:pos="3763" w:val="left" w:leader="none"/>
        </w:tabs>
        <w:spacing w:line="237" w:lineRule="auto"/>
        <w:ind w:left="1548" w:hanging="677"/>
        <w:jc w:val="both"/>
      </w:pPr>
      <w:r>
        <w:rPr/>
        <w:t>Okonkwo, I. O. Nkang A. O. Eyerefe O. D., Abubakar M. J. Ojezele M.O., And Amusan   </w:t>
      </w:r>
      <w:r>
        <w:rPr>
          <w:spacing w:val="20"/>
        </w:rPr>
        <w:t> </w:t>
      </w:r>
      <w:r>
        <w:rPr/>
        <w:t>T.A.(2010)</w:t>
      </w:r>
      <w:r>
        <w:rPr>
          <w:rFonts w:ascii="Times New Roman"/>
        </w:rPr>
        <w:tab/>
      </w:r>
      <w:r>
        <w:rPr/>
        <w:t>Incidence </w:t>
      </w:r>
      <w:r>
        <w:rPr>
          <w:spacing w:val="-6"/>
        </w:rPr>
        <w:t>of </w:t>
      </w:r>
      <w:r>
        <w:rPr/>
        <w:t>multidrug resistant organisms in some poultry feeds sold in Calabar metropolis Nigeria. </w:t>
      </w:r>
      <w:r>
        <w:rPr>
          <w:i/>
        </w:rPr>
        <w:t>British Journal of Pharmacology and Toxicology </w:t>
      </w:r>
      <w:r>
        <w:rPr/>
        <w:t>1:</w:t>
      </w:r>
      <w:r>
        <w:rPr>
          <w:spacing w:val="-4"/>
        </w:rPr>
        <w:t> </w:t>
      </w:r>
      <w:r>
        <w:rPr/>
        <w:t>15-28</w:t>
      </w:r>
    </w:p>
    <w:p>
      <w:pPr>
        <w:pStyle w:val="BodyText"/>
        <w:tabs>
          <w:tab w:pos="2902" w:val="left" w:leader="none"/>
        </w:tabs>
        <w:spacing w:line="237" w:lineRule="auto"/>
        <w:ind w:left="1548" w:right="1" w:hanging="677"/>
        <w:jc w:val="both"/>
      </w:pPr>
      <w:r>
        <w:rPr/>
        <w:t>Opera AU, Nnodim JK, Oluwafemi BE, Nwachukwu MI (2011) Co-infection of malaria and typhoid fever among patients in Owerri, Imo State Nigeria. </w:t>
      </w:r>
      <w:r>
        <w:rPr>
          <w:i/>
        </w:rPr>
        <w:t>Global Research Journal</w:t>
      </w:r>
      <w:r>
        <w:rPr>
          <w:i/>
          <w:spacing w:val="-5"/>
        </w:rPr>
        <w:t> </w:t>
      </w:r>
      <w:r>
        <w:rPr>
          <w:i/>
        </w:rPr>
        <w:t>of</w:t>
      </w:r>
      <w:r>
        <w:rPr>
          <w:rFonts w:ascii="Times New Roman"/>
        </w:rPr>
        <w:tab/>
      </w:r>
      <w:r>
        <w:rPr>
          <w:i/>
        </w:rPr>
        <w:t>Sciences </w:t>
      </w:r>
      <w:r>
        <w:rPr>
          <w:b/>
        </w:rPr>
        <w:t>1</w:t>
      </w:r>
      <w:r>
        <w:rPr/>
        <w:t>:</w:t>
      </w:r>
      <w:r>
        <w:rPr>
          <w:spacing w:val="-3"/>
        </w:rPr>
        <w:t> </w:t>
      </w:r>
      <w:r>
        <w:rPr/>
        <w:t>5-8.</w:t>
      </w:r>
    </w:p>
    <w:p>
      <w:pPr>
        <w:pStyle w:val="BodyText"/>
        <w:spacing w:line="209" w:lineRule="exact"/>
        <w:ind w:left="872"/>
        <w:jc w:val="both"/>
      </w:pPr>
      <w:r>
        <w:rPr/>
        <w:t>Qiagen (2006) DNeasy blood and Tissue handbook.</w:t>
      </w:r>
    </w:p>
    <w:p>
      <w:pPr>
        <w:pStyle w:val="BodyText"/>
        <w:spacing w:line="208" w:lineRule="exact"/>
        <w:ind w:left="1548"/>
      </w:pPr>
      <w:r>
        <w:rPr/>
        <w:t>Pp1-66</w:t>
      </w:r>
    </w:p>
    <w:p>
      <w:pPr>
        <w:pStyle w:val="BodyText"/>
        <w:spacing w:line="237" w:lineRule="auto"/>
        <w:ind w:left="1548" w:hanging="677"/>
        <w:jc w:val="both"/>
      </w:pPr>
      <w:r>
        <w:rPr/>
        <w:t>Rahman , B. A. , Wasfy, M. O., Maksoud, M. A., Hanna N., Dueger, E., and House B. (2014). Multi drug resistance and  reduced susceptibility to ciprofloxacin among </w:t>
      </w:r>
      <w:r>
        <w:rPr>
          <w:i/>
        </w:rPr>
        <w:t>Salmonella enterica </w:t>
      </w:r>
      <w:r>
        <w:rPr/>
        <w:t>serovar Typhi isolates from the middle East and Central Asia. </w:t>
      </w:r>
      <w:r>
        <w:rPr>
          <w:i/>
        </w:rPr>
        <w:t>New microbe and New Infections </w:t>
      </w:r>
      <w:r>
        <w:rPr>
          <w:b/>
        </w:rPr>
        <w:t>2</w:t>
      </w:r>
      <w:r>
        <w:rPr/>
        <w:t>:88-92</w:t>
      </w:r>
    </w:p>
    <w:p>
      <w:pPr>
        <w:pStyle w:val="BodyText"/>
        <w:spacing w:line="237" w:lineRule="auto" w:before="2"/>
        <w:ind w:left="1548" w:right="2" w:hanging="677"/>
        <w:jc w:val="both"/>
      </w:pPr>
      <w:r>
        <w:rPr/>
        <w:t>Rahman , B. A. , Wasfy, M. O., Maksoud, M. A., Hanna N., Dueger, E., and House B. (2014). Multi drug resistance and  reduced susceptibility to</w:t>
      </w:r>
      <w:r>
        <w:rPr>
          <w:spacing w:val="2"/>
        </w:rPr>
        <w:t> </w:t>
      </w:r>
      <w:r>
        <w:rPr/>
        <w:t>ciprofloxacin</w:t>
      </w:r>
    </w:p>
    <w:p>
      <w:pPr>
        <w:pStyle w:val="BodyText"/>
      </w:pPr>
      <w:r>
        <w:rPr/>
        <w:br w:type="column"/>
      </w:r>
      <w:r>
        <w:rPr/>
      </w:r>
    </w:p>
    <w:p>
      <w:pPr>
        <w:spacing w:line="237" w:lineRule="auto" w:before="1"/>
        <w:ind w:left="972" w:right="862" w:firstLine="0"/>
        <w:jc w:val="both"/>
        <w:rPr>
          <w:sz w:val="18"/>
        </w:rPr>
      </w:pPr>
      <w:r>
        <w:rPr>
          <w:sz w:val="18"/>
        </w:rPr>
        <w:t>among </w:t>
      </w:r>
      <w:r>
        <w:rPr>
          <w:i/>
          <w:sz w:val="18"/>
        </w:rPr>
        <w:t>Salmonella enterica </w:t>
      </w:r>
      <w:r>
        <w:rPr>
          <w:sz w:val="18"/>
        </w:rPr>
        <w:t>serovar Typhi isolates from the middle East and Central Asia. </w:t>
      </w:r>
      <w:r>
        <w:rPr>
          <w:i/>
          <w:sz w:val="18"/>
        </w:rPr>
        <w:t>New microbe and New Infections </w:t>
      </w:r>
      <w:r>
        <w:rPr>
          <w:b/>
          <w:sz w:val="18"/>
        </w:rPr>
        <w:t>2</w:t>
      </w:r>
      <w:r>
        <w:rPr>
          <w:sz w:val="18"/>
        </w:rPr>
        <w:t>:88-92</w:t>
      </w:r>
    </w:p>
    <w:p>
      <w:pPr>
        <w:tabs>
          <w:tab w:pos="2563" w:val="left" w:leader="none"/>
          <w:tab w:pos="4176" w:val="left" w:leader="none"/>
        </w:tabs>
        <w:spacing w:line="237" w:lineRule="auto" w:before="0"/>
        <w:ind w:left="972" w:right="863" w:hanging="677"/>
        <w:jc w:val="both"/>
        <w:rPr>
          <w:sz w:val="18"/>
        </w:rPr>
      </w:pPr>
      <w:r>
        <w:rPr>
          <w:sz w:val="18"/>
        </w:rPr>
        <w:t>Riaz, S., Faisal, M., and Hasnain, S. (2011) Antibiotic susceptibility pattern and multiple antibiotic resistances (MAR) calculation of extended spectrum β- lactamase (ESBL) producing </w:t>
      </w:r>
      <w:r>
        <w:rPr>
          <w:i/>
          <w:sz w:val="18"/>
        </w:rPr>
        <w:t>Escherichia coli </w:t>
      </w:r>
      <w:r>
        <w:rPr>
          <w:sz w:val="18"/>
        </w:rPr>
        <w:t>and </w:t>
      </w:r>
      <w:r>
        <w:rPr>
          <w:i/>
          <w:sz w:val="18"/>
        </w:rPr>
        <w:t>Klebsiella </w:t>
      </w:r>
      <w:r>
        <w:rPr>
          <w:sz w:val="18"/>
        </w:rPr>
        <w:t>species in Pakistan. </w:t>
      </w:r>
      <w:r>
        <w:rPr>
          <w:i/>
          <w:sz w:val="18"/>
        </w:rPr>
        <w:t>African</w:t>
      </w:r>
      <w:r>
        <w:rPr>
          <w:rFonts w:ascii="Times New Roman" w:hAnsi="Times New Roman"/>
          <w:sz w:val="18"/>
        </w:rPr>
        <w:tab/>
      </w:r>
      <w:r>
        <w:rPr>
          <w:i/>
          <w:sz w:val="18"/>
        </w:rPr>
        <w:t>Journal</w:t>
      </w:r>
      <w:r>
        <w:rPr>
          <w:rFonts w:ascii="Times New Roman" w:hAnsi="Times New Roman"/>
          <w:sz w:val="18"/>
        </w:rPr>
        <w:tab/>
      </w:r>
      <w:r>
        <w:rPr>
          <w:i/>
          <w:spacing w:val="-10"/>
          <w:sz w:val="18"/>
        </w:rPr>
        <w:t>Of </w:t>
      </w:r>
      <w:r>
        <w:rPr>
          <w:i/>
          <w:sz w:val="18"/>
        </w:rPr>
        <w:t>Biotechnology</w:t>
      </w:r>
      <w:r>
        <w:rPr>
          <w:i/>
          <w:spacing w:val="-6"/>
          <w:sz w:val="18"/>
        </w:rPr>
        <w:t> </w:t>
      </w:r>
      <w:r>
        <w:rPr>
          <w:b/>
          <w:sz w:val="18"/>
        </w:rPr>
        <w:t>10</w:t>
      </w:r>
      <w:r>
        <w:rPr>
          <w:sz w:val="18"/>
        </w:rPr>
        <w:t>(33):6325-6331</w:t>
      </w:r>
    </w:p>
    <w:p>
      <w:pPr>
        <w:pStyle w:val="BodyText"/>
        <w:spacing w:line="237" w:lineRule="auto" w:before="5"/>
        <w:ind w:left="972" w:right="860" w:hanging="677"/>
        <w:jc w:val="both"/>
      </w:pPr>
      <w:r>
        <w:rPr/>
        <w:t>Rotimi, V. O., Jamal, W., Pal, T., Sovenned, A. and Albert, M. J. (2008). Emergence of CTX- M-15 type extended-spectrum b- lactamase producing </w:t>
      </w:r>
      <w:r>
        <w:rPr>
          <w:i/>
        </w:rPr>
        <w:t>Salmonella </w:t>
      </w:r>
      <w:r>
        <w:rPr/>
        <w:t>spp. in Kuwait  and   the   United   Arab Emirates. </w:t>
      </w:r>
      <w:r>
        <w:rPr>
          <w:i/>
        </w:rPr>
        <w:t>Journal of Medical</w:t>
      </w:r>
      <w:r>
        <w:rPr>
          <w:i/>
          <w:spacing w:val="-38"/>
        </w:rPr>
        <w:t> </w:t>
      </w:r>
      <w:r>
        <w:rPr>
          <w:i/>
        </w:rPr>
        <w:t>Microbiology </w:t>
      </w:r>
      <w:r>
        <w:rPr/>
        <w:t>57:</w:t>
      </w:r>
      <w:r>
        <w:rPr>
          <w:spacing w:val="-1"/>
        </w:rPr>
        <w:t> </w:t>
      </w:r>
      <w:r>
        <w:rPr/>
        <w:t>881–886.</w:t>
      </w:r>
    </w:p>
    <w:p>
      <w:pPr>
        <w:tabs>
          <w:tab w:pos="2326" w:val="left" w:leader="none"/>
        </w:tabs>
        <w:spacing w:line="237" w:lineRule="auto" w:before="2"/>
        <w:ind w:left="972" w:right="862" w:hanging="677"/>
        <w:jc w:val="both"/>
        <w:rPr>
          <w:sz w:val="18"/>
        </w:rPr>
      </w:pPr>
      <w:r>
        <w:rPr>
          <w:sz w:val="18"/>
        </w:rPr>
        <w:t>Sale, M., Ja’afaru, M. I. and Ahmad, A. A. (2017) Changing Pattern of antibiotic resistance among </w:t>
      </w:r>
      <w:r>
        <w:rPr>
          <w:i/>
          <w:sz w:val="18"/>
        </w:rPr>
        <w:t>Salmonella enterica </w:t>
      </w:r>
      <w:r>
        <w:rPr>
          <w:sz w:val="18"/>
        </w:rPr>
        <w:t>subspecies </w:t>
      </w:r>
      <w:r>
        <w:rPr>
          <w:i/>
          <w:sz w:val="18"/>
        </w:rPr>
        <w:t>enterica </w:t>
      </w:r>
      <w:r>
        <w:rPr>
          <w:sz w:val="18"/>
        </w:rPr>
        <w:t>serovar Typhi isolates in the Southern</w:t>
      </w:r>
      <w:r>
        <w:rPr>
          <w:rFonts w:ascii="Times New Roman" w:hAnsi="Times New Roman"/>
          <w:sz w:val="18"/>
        </w:rPr>
        <w:tab/>
      </w:r>
      <w:r>
        <w:rPr>
          <w:sz w:val="18"/>
        </w:rPr>
        <w:t>Senatorial of Adamawa State, Nigeria. </w:t>
      </w:r>
      <w:r>
        <w:rPr>
          <w:i/>
          <w:sz w:val="18"/>
        </w:rPr>
        <w:t>Biological and Environmental Sciences Journal for the Tropics </w:t>
      </w:r>
      <w:r>
        <w:rPr>
          <w:b/>
          <w:sz w:val="18"/>
        </w:rPr>
        <w:t>14</w:t>
      </w:r>
      <w:r>
        <w:rPr>
          <w:sz w:val="18"/>
        </w:rPr>
        <w:t>(3):</w:t>
      </w:r>
      <w:r>
        <w:rPr>
          <w:spacing w:val="-1"/>
          <w:sz w:val="18"/>
        </w:rPr>
        <w:t> </w:t>
      </w:r>
      <w:r>
        <w:rPr>
          <w:sz w:val="18"/>
        </w:rPr>
        <w:t>1-7</w:t>
      </w:r>
    </w:p>
    <w:p>
      <w:pPr>
        <w:tabs>
          <w:tab w:pos="1980" w:val="left" w:leader="none"/>
          <w:tab w:pos="2117" w:val="left" w:leader="none"/>
          <w:tab w:pos="2319" w:val="left" w:leader="none"/>
          <w:tab w:pos="2784" w:val="left" w:leader="none"/>
          <w:tab w:pos="3015" w:val="left" w:leader="none"/>
          <w:tab w:pos="3603" w:val="left" w:leader="none"/>
          <w:tab w:pos="3682" w:val="left" w:leader="none"/>
          <w:tab w:pos="3766" w:val="left" w:leader="none"/>
        </w:tabs>
        <w:spacing w:line="237" w:lineRule="auto" w:before="3"/>
        <w:ind w:left="972" w:right="863" w:hanging="677"/>
        <w:jc w:val="left"/>
        <w:rPr>
          <w:sz w:val="18"/>
        </w:rPr>
      </w:pPr>
      <w:r>
        <w:rPr>
          <w:sz w:val="18"/>
        </w:rPr>
        <w:t>Saleh, F O.I., Ahmed, H. A., Khairy, A and Abdelwahab,</w:t>
      </w:r>
      <w:r>
        <w:rPr>
          <w:rFonts w:ascii="Times New Roman" w:hAnsi="Times New Roman"/>
          <w:sz w:val="18"/>
        </w:rPr>
        <w:tab/>
        <w:tab/>
      </w:r>
      <w:r>
        <w:rPr>
          <w:sz w:val="18"/>
        </w:rPr>
        <w:t>S.</w:t>
      </w:r>
      <w:r>
        <w:rPr>
          <w:rFonts w:ascii="Times New Roman" w:hAnsi="Times New Roman"/>
          <w:sz w:val="18"/>
        </w:rPr>
        <w:tab/>
      </w:r>
      <w:r>
        <w:rPr>
          <w:sz w:val="18"/>
        </w:rPr>
        <w:t>(2014)</w:t>
      </w:r>
      <w:r>
        <w:rPr>
          <w:rFonts w:ascii="Times New Roman" w:hAnsi="Times New Roman"/>
          <w:sz w:val="18"/>
        </w:rPr>
        <w:tab/>
      </w:r>
      <w:r>
        <w:rPr>
          <w:spacing w:val="-3"/>
          <w:sz w:val="18"/>
        </w:rPr>
        <w:t>Increased </w:t>
      </w:r>
      <w:r>
        <w:rPr>
          <w:sz w:val="18"/>
        </w:rPr>
        <w:t>quinolone</w:t>
      </w:r>
      <w:r>
        <w:rPr>
          <w:rFonts w:ascii="Times New Roman" w:hAnsi="Times New Roman"/>
          <w:sz w:val="18"/>
        </w:rPr>
        <w:tab/>
      </w:r>
      <w:r>
        <w:rPr>
          <w:sz w:val="18"/>
        </w:rPr>
        <w:t>resistance</w:t>
      </w:r>
      <w:r>
        <w:rPr>
          <w:rFonts w:ascii="Times New Roman" w:hAnsi="Times New Roman"/>
          <w:sz w:val="18"/>
        </w:rPr>
        <w:tab/>
      </w:r>
      <w:r>
        <w:rPr>
          <w:sz w:val="18"/>
        </w:rPr>
        <w:t>among</w:t>
      </w:r>
      <w:r>
        <w:rPr>
          <w:rFonts w:ascii="Times New Roman" w:hAnsi="Times New Roman"/>
          <w:sz w:val="18"/>
        </w:rPr>
        <w:tab/>
        <w:tab/>
        <w:tab/>
      </w:r>
      <w:r>
        <w:rPr>
          <w:spacing w:val="-3"/>
          <w:sz w:val="18"/>
        </w:rPr>
        <w:t>typhoid </w:t>
      </w:r>
      <w:r>
        <w:rPr>
          <w:sz w:val="18"/>
        </w:rPr>
        <w:t>Salmonella</w:t>
      </w:r>
      <w:r>
        <w:rPr>
          <w:rFonts w:ascii="Times New Roman" w:hAnsi="Times New Roman"/>
          <w:sz w:val="18"/>
        </w:rPr>
        <w:tab/>
        <w:tab/>
      </w:r>
      <w:r>
        <w:rPr>
          <w:sz w:val="18"/>
        </w:rPr>
        <w:t>isolated</w:t>
      </w:r>
      <w:r>
        <w:rPr>
          <w:rFonts w:ascii="Times New Roman" w:hAnsi="Times New Roman"/>
          <w:sz w:val="18"/>
        </w:rPr>
        <w:tab/>
        <w:tab/>
      </w:r>
      <w:r>
        <w:rPr>
          <w:sz w:val="18"/>
        </w:rPr>
        <w:t>from</w:t>
      </w:r>
      <w:r>
        <w:rPr>
          <w:rFonts w:ascii="Times New Roman" w:hAnsi="Times New Roman"/>
          <w:sz w:val="18"/>
        </w:rPr>
        <w:tab/>
        <w:tab/>
      </w:r>
      <w:r>
        <w:rPr>
          <w:spacing w:val="-3"/>
          <w:sz w:val="18"/>
        </w:rPr>
        <w:t>Egyptian </w:t>
      </w:r>
      <w:r>
        <w:rPr>
          <w:sz w:val="18"/>
        </w:rPr>
        <w:t>patients. </w:t>
      </w:r>
      <w:r>
        <w:rPr>
          <w:i/>
          <w:sz w:val="18"/>
        </w:rPr>
        <w:t>The Journal of Infection in Developing Countries </w:t>
      </w:r>
      <w:r>
        <w:rPr>
          <w:b/>
          <w:sz w:val="18"/>
        </w:rPr>
        <w:t>8(</w:t>
      </w:r>
      <w:r>
        <w:rPr>
          <w:sz w:val="18"/>
        </w:rPr>
        <w:t>5):661-665</w:t>
      </w:r>
      <w:r>
        <w:rPr>
          <w:spacing w:val="-12"/>
          <w:sz w:val="18"/>
        </w:rPr>
        <w:t> </w:t>
      </w:r>
      <w:r>
        <w:rPr>
          <w:sz w:val="18"/>
        </w:rPr>
        <w:t>·</w:t>
      </w:r>
    </w:p>
    <w:p>
      <w:pPr>
        <w:pStyle w:val="BodyText"/>
        <w:spacing w:line="237" w:lineRule="auto" w:before="4"/>
        <w:ind w:left="972" w:right="860" w:hanging="677"/>
        <w:jc w:val="both"/>
      </w:pPr>
      <w:r>
        <w:rPr/>
        <w:t>Seljul, R. M. , Ogundeko, T. O., Idyu, I. I. and Ameh, J. M. (2014) Use of Stool Culture as a Determinant Parameter of Enteric Fever in Adults Attending Bingham University Teaching Hospital Jos, Nigeria. </w:t>
      </w:r>
      <w:r>
        <w:rPr>
          <w:i/>
        </w:rPr>
        <w:t>Clinical Medicine Research</w:t>
      </w:r>
      <w:r>
        <w:rPr/>
        <w:t>. </w:t>
      </w:r>
      <w:r>
        <w:rPr>
          <w:b/>
        </w:rPr>
        <w:t>3</w:t>
      </w:r>
      <w:r>
        <w:rPr/>
        <w:t>(2): 31-35. doi:</w:t>
      </w:r>
      <w:r>
        <w:rPr>
          <w:spacing w:val="-3"/>
        </w:rPr>
        <w:t> </w:t>
      </w:r>
      <w:r>
        <w:rPr/>
        <w:t>10.11648/j.cmr.20140302.15</w:t>
      </w:r>
    </w:p>
    <w:p>
      <w:pPr>
        <w:spacing w:line="240" w:lineRule="auto" w:before="0"/>
        <w:ind w:left="972" w:right="861" w:hanging="677"/>
        <w:jc w:val="both"/>
        <w:rPr>
          <w:sz w:val="18"/>
        </w:rPr>
      </w:pPr>
      <w:r>
        <w:rPr>
          <w:sz w:val="18"/>
        </w:rPr>
        <w:t>Subramani, S. and Vignesh, S (2012) MAR Index Study and MDR Character Analysis of a few Golden S Isolates. </w:t>
      </w:r>
      <w:r>
        <w:rPr>
          <w:i/>
          <w:sz w:val="18"/>
        </w:rPr>
        <w:t>Asian Journal of Pharmacy and Life Science </w:t>
      </w:r>
      <w:r>
        <w:rPr>
          <w:sz w:val="18"/>
        </w:rPr>
        <w:t>2 (2):</w:t>
      </w:r>
      <w:r>
        <w:rPr>
          <w:spacing w:val="-31"/>
          <w:sz w:val="18"/>
        </w:rPr>
        <w:t> </w:t>
      </w:r>
      <w:r>
        <w:rPr>
          <w:sz w:val="18"/>
        </w:rPr>
        <w:t>151-154</w:t>
      </w:r>
    </w:p>
    <w:p>
      <w:pPr>
        <w:tabs>
          <w:tab w:pos="2660" w:val="left" w:leader="none"/>
        </w:tabs>
        <w:spacing w:line="237" w:lineRule="auto" w:before="0"/>
        <w:ind w:left="972" w:right="862" w:hanging="677"/>
        <w:jc w:val="both"/>
        <w:rPr>
          <w:sz w:val="18"/>
        </w:rPr>
      </w:pPr>
      <w:r>
        <w:rPr>
          <w:sz w:val="18"/>
        </w:rPr>
        <w:t>World Health Organization. (2003). WHO.</w:t>
      </w:r>
      <w:r>
        <w:rPr>
          <w:spacing w:val="-41"/>
          <w:sz w:val="18"/>
        </w:rPr>
        <w:t> </w:t>
      </w:r>
      <w:r>
        <w:rPr>
          <w:sz w:val="18"/>
        </w:rPr>
        <w:t>Bulletin, Drug Resistance </w:t>
      </w:r>
      <w:r>
        <w:rPr>
          <w:i/>
          <w:sz w:val="18"/>
        </w:rPr>
        <w:t>Salmonella </w:t>
      </w:r>
      <w:r>
        <w:rPr>
          <w:sz w:val="18"/>
        </w:rPr>
        <w:t>and </w:t>
      </w:r>
      <w:r>
        <w:rPr>
          <w:i/>
          <w:sz w:val="18"/>
        </w:rPr>
        <w:t>Shigella</w:t>
      </w:r>
      <w:r>
        <w:rPr>
          <w:sz w:val="18"/>
        </w:rPr>
        <w:t>; Available.</w:t>
      </w:r>
      <w:r>
        <w:rPr>
          <w:rFonts w:ascii="Times New Roman"/>
          <w:sz w:val="18"/>
        </w:rPr>
        <w:tab/>
      </w:r>
      <w:r>
        <w:rPr>
          <w:i/>
          <w:w w:val="95"/>
          <w:sz w:val="18"/>
        </w:rPr>
        <w:t>http/www.int/Media </w:t>
      </w:r>
      <w:r>
        <w:rPr>
          <w:i/>
          <w:sz w:val="18"/>
        </w:rPr>
        <w:t>centre/factsheet/. </w:t>
      </w:r>
      <w:r>
        <w:rPr>
          <w:sz w:val="18"/>
        </w:rPr>
        <w:t>Accessed March 20, 2009.</w:t>
      </w:r>
    </w:p>
    <w:p>
      <w:pPr>
        <w:pStyle w:val="BodyText"/>
        <w:spacing w:line="237" w:lineRule="auto"/>
        <w:ind w:left="972" w:right="861" w:hanging="677"/>
        <w:jc w:val="both"/>
      </w:pPr>
      <w:r>
        <w:rPr/>
        <w:t>Wong, K. V., Baker, S., Pickard, D. J., Parkhill, J. and Page A. J. (2015) Phylogeographical analysis of the dominant multi drug resistant H58 clade of </w:t>
      </w:r>
      <w:r>
        <w:rPr>
          <w:i/>
        </w:rPr>
        <w:t>Salmonella ser. Typhi </w:t>
      </w:r>
      <w:r>
        <w:rPr/>
        <w:t>identifies inter and</w:t>
      </w:r>
      <w:r>
        <w:rPr>
          <w:spacing w:val="-33"/>
        </w:rPr>
        <w:t> </w:t>
      </w:r>
      <w:r>
        <w:rPr/>
        <w:t>intracontinental transmission events. Nature genetics </w:t>
      </w:r>
      <w:r>
        <w:rPr>
          <w:b/>
        </w:rPr>
        <w:t>47</w:t>
      </w:r>
      <w:r>
        <w:rPr/>
        <w:t>: 632-639</w:t>
      </w:r>
    </w:p>
    <w:p>
      <w:pPr>
        <w:pStyle w:val="BodyText"/>
        <w:spacing w:line="237" w:lineRule="auto" w:before="1"/>
        <w:ind w:left="972" w:right="859" w:hanging="677"/>
        <w:jc w:val="both"/>
      </w:pPr>
      <w:r>
        <w:rPr/>
        <w:t>Yoon, H, McDermott, J.E., Porwollik, S, McClelland, M, Heffron, F. (2009) Coordinated regulation of virulence during systemic infection of </w:t>
      </w:r>
      <w:r>
        <w:rPr>
          <w:i/>
        </w:rPr>
        <w:t>Salmonella enterica </w:t>
      </w:r>
      <w:r>
        <w:rPr/>
        <w:t>serovar Typhimurium. PLoS Pathog;5:e1000306</w:t>
      </w:r>
    </w:p>
    <w:p>
      <w:pPr>
        <w:spacing w:after="0" w:line="237" w:lineRule="auto"/>
        <w:jc w:val="both"/>
        <w:sectPr>
          <w:headerReference w:type="default" r:id="rId22"/>
          <w:footerReference w:type="default" r:id="rId23"/>
          <w:pgSz w:w="12240" w:h="15840"/>
          <w:pgMar w:header="961" w:footer="0" w:top="1160" w:bottom="280" w:left="1000" w:right="1020"/>
          <w:cols w:num="2" w:equalWidth="0">
            <w:col w:w="4948" w:space="40"/>
            <w:col w:w="5232"/>
          </w:cols>
        </w:sectPr>
      </w:pPr>
    </w:p>
    <w:p>
      <w:pPr>
        <w:pStyle w:val="BodyText"/>
        <w:spacing w:before="7"/>
      </w:pPr>
    </w:p>
    <w:p>
      <w:pPr>
        <w:spacing w:after="0"/>
        <w:sectPr>
          <w:type w:val="continuous"/>
          <w:pgSz w:w="12240" w:h="15840"/>
          <w:pgMar w:top="1160" w:bottom="280" w:left="1000" w:right="1020"/>
        </w:sectPr>
      </w:pPr>
    </w:p>
    <w:sdt>
      <w:sdtPr>
        <w:docPartObj>
          <w:docPartGallery w:val="Table of Contents"/>
          <w:docPartUnique/>
        </w:docPartObj>
      </w:sdtPr>
      <w:sdtEndPr/>
      <w:sdtContent>
        <w:p>
          <w:pPr>
            <w:pStyle w:val="TOC1"/>
            <w:tabs>
              <w:tab w:pos="5167" w:val="right" w:leader="none"/>
            </w:tabs>
            <w:rPr>
              <w:rFonts w:ascii="Calibri"/>
              <w:b w:val="0"/>
              <w:i w:val="0"/>
              <w:sz w:val="20"/>
            </w:rPr>
          </w:pPr>
          <w:hyperlink w:history="true" w:anchor="_TOC_250000">
            <w:r>
              <w:rPr>
                <w:i/>
                <w:color w:val="C00000"/>
                <w:w w:val="105"/>
              </w:rPr>
              <w:t>UMYU Journal of</w:t>
            </w:r>
            <w:r>
              <w:rPr>
                <w:i/>
                <w:color w:val="C00000"/>
                <w:spacing w:val="-2"/>
                <w:w w:val="105"/>
              </w:rPr>
              <w:t> </w:t>
            </w:r>
            <w:r>
              <w:rPr>
                <w:i/>
                <w:color w:val="C00000"/>
                <w:w w:val="105"/>
              </w:rPr>
              <w:t>Microbiology Research</w:t>
              <w:tab/>
            </w:r>
            <w:r>
              <w:rPr>
                <w:rFonts w:ascii="Calibri"/>
                <w:b w:val="0"/>
                <w:i w:val="0"/>
                <w:w w:val="105"/>
                <w:position w:val="-7"/>
                <w:sz w:val="20"/>
              </w:rPr>
              <w:t>54</w:t>
            </w:r>
          </w:hyperlink>
        </w:p>
        <w:p>
          <w:pPr>
            <w:pStyle w:val="TOC1"/>
            <w:rPr>
              <w:i/>
            </w:rPr>
          </w:pPr>
          <w:r>
            <w:rPr>
              <w:b w:val="0"/>
              <w:i w:val="0"/>
            </w:rPr>
            <w:br w:type="column"/>
          </w:r>
          <w:hyperlink r:id="rId9">
            <w:r>
              <w:rPr>
                <w:i/>
                <w:color w:val="C00000"/>
                <w:w w:val="105"/>
              </w:rPr>
              <w:t>www.ujmr.umyu.edu.ng</w:t>
            </w:r>
          </w:hyperlink>
        </w:p>
      </w:sdtContent>
    </w:sdt>
    <w:sectPr>
      <w:type w:val="continuous"/>
      <w:pgSz w:w="12240" w:h="15840"/>
      <w:pgMar w:top="1160" w:bottom="280" w:left="1000" w:right="1020"/>
      <w:cols w:num="2" w:equalWidth="0">
        <w:col w:w="5208" w:space="931"/>
        <w:col w:w="40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9996pt;margin-top:726.776733pt;width:165.5pt;height:11.4pt;mso-position-horizontal-relative:page;mso-position-vertical-relative:page;z-index:-252950528"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UMYU Journal of Microbiology Research</w:t>
                </w:r>
              </w:p>
            </w:txbxContent>
          </v:textbox>
          <w10:wrap type="none"/>
        </v:shape>
      </w:pict>
    </w:r>
    <w:r>
      <w:rPr/>
      <w:pict>
        <v:shape style="position:absolute;margin-left:399.55954pt;margin-top:726.776733pt;width:94.8pt;height:11.4pt;mso-position-horizontal-relative:page;mso-position-vertical-relative:page;z-index:-252949504" type="#_x0000_t202" filled="false" stroked="false">
          <v:textbox inset="0,0,0,0">
            <w:txbxContent>
              <w:p>
                <w:pPr>
                  <w:spacing w:line="203" w:lineRule="exact" w:before="0"/>
                  <w:ind w:left="20" w:right="0" w:firstLine="0"/>
                  <w:jc w:val="left"/>
                  <w:rPr>
                    <w:rFonts w:ascii="Times New Roman"/>
                    <w:b/>
                    <w:i/>
                    <w:sz w:val="18"/>
                  </w:rPr>
                </w:pPr>
                <w:hyperlink r:id="rId1">
                  <w:r>
                    <w:rPr>
                      <w:rFonts w:ascii="Times New Roman"/>
                      <w:b/>
                      <w:i/>
                      <w:color w:val="C00000"/>
                      <w:sz w:val="18"/>
                    </w:rPr>
                    <w:t>www.ujmr.umyu.edu.ng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119873pt;margin-top:722.857117pt;width:12.55pt;height:12.4pt;mso-position-horizontal-relative:page;mso-position-vertical-relative:page;z-index:-252946432" type="#_x0000_t202" filled="false" stroked="false">
          <v:textbox inset="0,0,0,0">
            <w:txbxContent>
              <w:p>
                <w:pPr>
                  <w:spacing w:line="229" w:lineRule="exact" w:before="0"/>
                  <w:ind w:left="20" w:right="0" w:firstLine="0"/>
                  <w:jc w:val="left"/>
                  <w:rPr>
                    <w:rFonts w:ascii="Calibri"/>
                    <w:sz w:val="20"/>
                  </w:rPr>
                </w:pPr>
                <w:r>
                  <w:rPr>
                    <w:rFonts w:ascii="Calibri"/>
                    <w:w w:val="105"/>
                    <w:sz w:val="20"/>
                  </w:rPr>
                  <w:t>49</w:t>
                </w:r>
              </w:p>
            </w:txbxContent>
          </v:textbox>
          <w10:wrap type="none"/>
        </v:shape>
      </w:pict>
    </w:r>
    <w:r>
      <w:rPr/>
      <w:pict>
        <v:shape style="position:absolute;margin-left:92.59996pt;margin-top:726.776733pt;width:165.5pt;height:11.4pt;mso-position-horizontal-relative:page;mso-position-vertical-relative:page;z-index:-252945408"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UMYU Journal of Microbiology Research</w:t>
                </w:r>
              </w:p>
            </w:txbxContent>
          </v:textbox>
          <w10:wrap type="none"/>
        </v:shape>
      </w:pict>
    </w:r>
    <w:r>
      <w:rPr/>
      <w:pict>
        <v:shape style="position:absolute;margin-left:399.55954pt;margin-top:726.776733pt;width:94.8pt;height:11.4pt;mso-position-horizontal-relative:page;mso-position-vertical-relative:page;z-index:-252944384" type="#_x0000_t202" filled="false" stroked="false">
          <v:textbox inset="0,0,0,0">
            <w:txbxContent>
              <w:p>
                <w:pPr>
                  <w:spacing w:line="203" w:lineRule="exact" w:before="0"/>
                  <w:ind w:left="20" w:right="0" w:firstLine="0"/>
                  <w:jc w:val="left"/>
                  <w:rPr>
                    <w:rFonts w:ascii="Times New Roman"/>
                    <w:b/>
                    <w:i/>
                    <w:sz w:val="18"/>
                  </w:rPr>
                </w:pPr>
                <w:hyperlink r:id="rId1">
                  <w:r>
                    <w:rPr>
                      <w:rFonts w:ascii="Times New Roman"/>
                      <w:b/>
                      <w:i/>
                      <w:color w:val="C00000"/>
                      <w:sz w:val="18"/>
                    </w:rPr>
                    <w:t>www.ujmr.umyu.edu.ng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9996pt;margin-top:726.776733pt;width:165.5pt;height:11.4pt;mso-position-horizontal-relative:page;mso-position-vertical-relative:page;z-index:-252941312"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UMYU Journal of Microbiology Research</w:t>
                </w:r>
              </w:p>
            </w:txbxContent>
          </v:textbox>
          <w10:wrap type="none"/>
        </v:shape>
      </w:pict>
    </w:r>
    <w:r>
      <w:rPr/>
      <w:pict>
        <v:shape style="position:absolute;margin-left:399.55954pt;margin-top:726.776733pt;width:94.8pt;height:11.4pt;mso-position-horizontal-relative:page;mso-position-vertical-relative:page;z-index:-252940288" type="#_x0000_t202" filled="false" stroked="false">
          <v:textbox inset="0,0,0,0">
            <w:txbxContent>
              <w:p>
                <w:pPr>
                  <w:spacing w:line="203" w:lineRule="exact" w:before="0"/>
                  <w:ind w:left="20" w:right="0" w:firstLine="0"/>
                  <w:jc w:val="left"/>
                  <w:rPr>
                    <w:rFonts w:ascii="Times New Roman"/>
                    <w:b/>
                    <w:i/>
                    <w:sz w:val="18"/>
                  </w:rPr>
                </w:pPr>
                <w:hyperlink r:id="rId1">
                  <w:r>
                    <w:rPr>
                      <w:rFonts w:ascii="Times New Roman"/>
                      <w:b/>
                      <w:i/>
                      <w:color w:val="C00000"/>
                      <w:sz w:val="18"/>
                    </w:rPr>
                    <w:t>www.ujmr.umyu.edu.ng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92.59996pt;margin-top:726.776733pt;width:165.5pt;height:11.4pt;mso-position-horizontal-relative:page;mso-position-vertical-relative:page;z-index:-252937216"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UMYU Journal of Microbiology Research</w:t>
                </w:r>
              </w:p>
            </w:txbxContent>
          </v:textbox>
          <w10:wrap type="none"/>
        </v:shape>
      </w:pict>
    </w:r>
    <w:r>
      <w:rPr/>
      <w:pict>
        <v:shape style="position:absolute;margin-left:399.55954pt;margin-top:726.776733pt;width:94.8pt;height:11.4pt;mso-position-horizontal-relative:page;mso-position-vertical-relative:page;z-index:-252936192" type="#_x0000_t202" filled="false" stroked="false">
          <v:textbox inset="0,0,0,0">
            <w:txbxContent>
              <w:p>
                <w:pPr>
                  <w:spacing w:line="203" w:lineRule="exact" w:before="0"/>
                  <w:ind w:left="20" w:right="0" w:firstLine="0"/>
                  <w:jc w:val="left"/>
                  <w:rPr>
                    <w:rFonts w:ascii="Times New Roman"/>
                    <w:b/>
                    <w:i/>
                    <w:sz w:val="18"/>
                  </w:rPr>
                </w:pPr>
                <w:hyperlink r:id="rId1">
                  <w:r>
                    <w:rPr>
                      <w:rFonts w:ascii="Times New Roman"/>
                      <w:b/>
                      <w:i/>
                      <w:color w:val="C00000"/>
                      <w:sz w:val="18"/>
                    </w:rPr>
                    <w:t>www.ujmr.umyu.edu.ng</w:t>
                  </w:r>
                </w:hyperlink>
              </w:p>
            </w:txbxContent>
          </v:textbox>
          <w10:wrap type="none"/>
        </v:shape>
      </w:pict>
    </w:r>
    <w:r>
      <w:rPr/>
      <w:pict>
        <v:shape style="position:absolute;margin-left:291.959869pt;margin-top:723.577148pt;width:18.7pt;height:16.6pt;mso-position-horizontal-relative:page;mso-position-vertical-relative:page;z-index:-252935168" type="#_x0000_t202" filled="false" stroked="false">
          <v:textbox inset="0,0,0,0">
            <w:txbxContent>
              <w:p>
                <w:pPr>
                  <w:spacing w:before="69"/>
                  <w:ind w:left="103" w:right="0" w:firstLine="0"/>
                  <w:jc w:val="left"/>
                  <w:rPr>
                    <w:rFonts w:ascii="Calibri"/>
                    <w:sz w:val="20"/>
                  </w:rPr>
                </w:pPr>
                <w:r>
                  <w:rPr/>
                  <w:fldChar w:fldCharType="begin"/>
                </w:r>
                <w:r>
                  <w:rPr>
                    <w:rFonts w:ascii="Calibri"/>
                    <w:w w:val="105"/>
                    <w:sz w:val="20"/>
                  </w:rPr>
                  <w:instrText> PAGE </w:instrText>
                </w:r>
                <w:r>
                  <w:rPr/>
                  <w:fldChar w:fldCharType="separate"/>
                </w:r>
                <w:r>
                  <w:rPr/>
                  <w:t>52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9.439941pt;margin-top:47.696987pt;width:202.05pt;height:11.4pt;mso-position-horizontal-relative:page;mso-position-vertical-relative:page;z-index:-252954624"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53600"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52576"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51552"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48480"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47456"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43360"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42336"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39264"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38240"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34144"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33120"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439941pt;margin-top:47.696987pt;width:202.05pt;height:11.4pt;mso-position-horizontal-relative:page;mso-position-vertical-relative:page;z-index:-252932096" type="#_x0000_t202" filled="false" stroked="false">
          <v:textbox inset="0,0,0,0">
            <w:txbxContent>
              <w:p>
                <w:pPr>
                  <w:spacing w:line="203" w:lineRule="exact" w:before="0"/>
                  <w:ind w:left="20" w:right="0" w:firstLine="0"/>
                  <w:jc w:val="left"/>
                  <w:rPr>
                    <w:rFonts w:ascii="Times New Roman"/>
                    <w:b/>
                    <w:i/>
                    <w:sz w:val="18"/>
                  </w:rPr>
                </w:pPr>
                <w:r>
                  <w:rPr>
                    <w:rFonts w:ascii="Times New Roman"/>
                    <w:b/>
                    <w:i/>
                    <w:w w:val="105"/>
                    <w:sz w:val="18"/>
                  </w:rPr>
                  <w:t>UJMR, Volume 6 Number 1, June, 2021, pp 47</w:t>
                </w:r>
                <w:r>
                  <w:rPr>
                    <w:rFonts w:ascii="Times New Roman"/>
                    <w:b/>
                    <w:i/>
                    <w:spacing w:val="-35"/>
                    <w:w w:val="105"/>
                    <w:sz w:val="18"/>
                  </w:rPr>
                  <w:t> </w:t>
                </w:r>
                <w:r>
                  <w:rPr>
                    <w:rFonts w:ascii="Times New Roman"/>
                    <w:b/>
                    <w:i/>
                    <w:w w:val="105"/>
                    <w:sz w:val="18"/>
                  </w:rPr>
                  <w:t>- 54</w:t>
                </w:r>
              </w:p>
            </w:txbxContent>
          </v:textbox>
          <w10:wrap type="none"/>
        </v:shape>
      </w:pict>
    </w:r>
    <w:r>
      <w:rPr/>
      <w:pict>
        <v:shape style="position:absolute;margin-left:378.319855pt;margin-top:47.696987pt;width:73.650pt;height:11.4pt;mso-position-horizontal-relative:page;mso-position-vertical-relative:page;z-index:-252931072" type="#_x0000_t202" filled="false" stroked="false">
          <v:textbox inset="0,0,0,0">
            <w:txbxContent>
              <w:p>
                <w:pPr>
                  <w:spacing w:line="203" w:lineRule="exact" w:before="0"/>
                  <w:ind w:left="20" w:right="0" w:firstLine="0"/>
                  <w:jc w:val="left"/>
                  <w:rPr>
                    <w:rFonts w:ascii="Times New Roman"/>
                    <w:b/>
                    <w:i/>
                    <w:sz w:val="18"/>
                  </w:rPr>
                </w:pPr>
                <w:r>
                  <w:rPr>
                    <w:rFonts w:ascii="Times New Roman"/>
                    <w:b/>
                    <w:i/>
                    <w:color w:val="C00000"/>
                    <w:w w:val="105"/>
                    <w:sz w:val="18"/>
                  </w:rPr>
                  <w:t>ISSN: 2616 - 0668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56" w:hanging="339"/>
        <w:jc w:val="right"/>
      </w:pPr>
      <w:rPr>
        <w:rFonts w:hint="default" w:ascii="Trebuchet MS" w:hAnsi="Trebuchet MS" w:eastAsia="Trebuchet MS" w:cs="Trebuchet MS"/>
        <w:spacing w:val="-1"/>
        <w:w w:val="103"/>
        <w:sz w:val="20"/>
        <w:szCs w:val="20"/>
      </w:rPr>
    </w:lvl>
    <w:lvl w:ilvl="1">
      <w:start w:val="0"/>
      <w:numFmt w:val="bullet"/>
      <w:lvlText w:val="•"/>
      <w:lvlJc w:val="left"/>
      <w:pPr>
        <w:ind w:left="2820" w:hanging="339"/>
      </w:pPr>
      <w:rPr>
        <w:rFonts w:hint="default"/>
      </w:rPr>
    </w:lvl>
    <w:lvl w:ilvl="2">
      <w:start w:val="0"/>
      <w:numFmt w:val="bullet"/>
      <w:lvlText w:val="•"/>
      <w:lvlJc w:val="left"/>
      <w:pPr>
        <w:ind w:left="3642" w:hanging="339"/>
      </w:pPr>
      <w:rPr>
        <w:rFonts w:hint="default"/>
      </w:rPr>
    </w:lvl>
    <w:lvl w:ilvl="3">
      <w:start w:val="0"/>
      <w:numFmt w:val="bullet"/>
      <w:lvlText w:val="•"/>
      <w:lvlJc w:val="left"/>
      <w:pPr>
        <w:ind w:left="4464" w:hanging="339"/>
      </w:pPr>
      <w:rPr>
        <w:rFonts w:hint="default"/>
      </w:rPr>
    </w:lvl>
    <w:lvl w:ilvl="4">
      <w:start w:val="0"/>
      <w:numFmt w:val="bullet"/>
      <w:lvlText w:val="•"/>
      <w:lvlJc w:val="left"/>
      <w:pPr>
        <w:ind w:left="5286" w:hanging="339"/>
      </w:pPr>
      <w:rPr>
        <w:rFonts w:hint="default"/>
      </w:rPr>
    </w:lvl>
    <w:lvl w:ilvl="5">
      <w:start w:val="0"/>
      <w:numFmt w:val="bullet"/>
      <w:lvlText w:val="•"/>
      <w:lvlJc w:val="left"/>
      <w:pPr>
        <w:ind w:left="6108" w:hanging="339"/>
      </w:pPr>
      <w:rPr>
        <w:rFonts w:hint="default"/>
      </w:rPr>
    </w:lvl>
    <w:lvl w:ilvl="6">
      <w:start w:val="0"/>
      <w:numFmt w:val="bullet"/>
      <w:lvlText w:val="•"/>
      <w:lvlJc w:val="left"/>
      <w:pPr>
        <w:ind w:left="6931" w:hanging="339"/>
      </w:pPr>
      <w:rPr>
        <w:rFonts w:hint="default"/>
      </w:rPr>
    </w:lvl>
    <w:lvl w:ilvl="7">
      <w:start w:val="0"/>
      <w:numFmt w:val="bullet"/>
      <w:lvlText w:val="•"/>
      <w:lvlJc w:val="left"/>
      <w:pPr>
        <w:ind w:left="7753" w:hanging="339"/>
      </w:pPr>
      <w:rPr>
        <w:rFonts w:hint="default"/>
      </w:rPr>
    </w:lvl>
    <w:lvl w:ilvl="8">
      <w:start w:val="0"/>
      <w:numFmt w:val="bullet"/>
      <w:lvlText w:val="•"/>
      <w:lvlJc w:val="left"/>
      <w:pPr>
        <w:ind w:left="8575"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rPr>
  </w:style>
  <w:style w:styleId="TOC1" w:type="paragraph">
    <w:name w:val="TOC 1"/>
    <w:basedOn w:val="Normal"/>
    <w:uiPriority w:val="1"/>
    <w:qFormat/>
    <w:pPr>
      <w:spacing w:before="77"/>
      <w:ind w:left="871"/>
    </w:pPr>
    <w:rPr>
      <w:rFonts w:ascii="Times New Roman" w:hAnsi="Times New Roman" w:eastAsia="Times New Roman" w:cs="Times New Roman"/>
      <w:b/>
      <w:bCs/>
      <w:i/>
      <w:sz w:val="18"/>
      <w:szCs w:val="18"/>
    </w:rPr>
  </w:style>
  <w:style w:styleId="BodyText" w:type="paragraph">
    <w:name w:val="Body Text"/>
    <w:basedOn w:val="Normal"/>
    <w:uiPriority w:val="1"/>
    <w:qFormat/>
    <w:pPr/>
    <w:rPr>
      <w:rFonts w:ascii="Trebuchet MS" w:hAnsi="Trebuchet MS" w:eastAsia="Trebuchet MS" w:cs="Trebuchet MS"/>
      <w:sz w:val="18"/>
      <w:szCs w:val="18"/>
    </w:rPr>
  </w:style>
  <w:style w:styleId="Heading1" w:type="paragraph">
    <w:name w:val="Heading 1"/>
    <w:basedOn w:val="Normal"/>
    <w:uiPriority w:val="1"/>
    <w:qFormat/>
    <w:pPr>
      <w:ind w:left="20"/>
      <w:outlineLvl w:val="1"/>
    </w:pPr>
    <w:rPr>
      <w:rFonts w:ascii="Trebuchet MS" w:hAnsi="Trebuchet MS" w:eastAsia="Trebuchet MS" w:cs="Trebuchet MS"/>
      <w:sz w:val="20"/>
      <w:szCs w:val="20"/>
    </w:rPr>
  </w:style>
  <w:style w:styleId="Heading2" w:type="paragraph">
    <w:name w:val="Heading 2"/>
    <w:basedOn w:val="Normal"/>
    <w:uiPriority w:val="1"/>
    <w:qFormat/>
    <w:pPr>
      <w:ind w:left="871"/>
      <w:jc w:val="both"/>
      <w:outlineLvl w:val="2"/>
    </w:pPr>
    <w:rPr>
      <w:rFonts w:ascii="Trebuchet MS" w:hAnsi="Trebuchet MS" w:eastAsia="Trebuchet MS" w:cs="Trebuchet MS"/>
      <w:b/>
      <w:bCs/>
      <w:sz w:val="18"/>
      <w:szCs w:val="18"/>
    </w:rPr>
  </w:style>
  <w:style w:styleId="Heading3" w:type="paragraph">
    <w:name w:val="Heading 3"/>
    <w:basedOn w:val="Normal"/>
    <w:uiPriority w:val="1"/>
    <w:qFormat/>
    <w:pPr>
      <w:spacing w:line="203" w:lineRule="exact"/>
      <w:ind w:left="20"/>
      <w:outlineLvl w:val="3"/>
    </w:pPr>
    <w:rPr>
      <w:rFonts w:ascii="Times New Roman" w:hAnsi="Times New Roman" w:eastAsia="Times New Roman" w:cs="Times New Roman"/>
      <w:b/>
      <w:bCs/>
      <w:i/>
      <w:sz w:val="18"/>
      <w:szCs w:val="18"/>
    </w:rPr>
  </w:style>
  <w:style w:styleId="ListParagraph" w:type="paragraph">
    <w:name w:val="List Paragraph"/>
    <w:basedOn w:val="Normal"/>
    <w:uiPriority w:val="1"/>
    <w:qFormat/>
    <w:pPr>
      <w:spacing w:before="7"/>
      <w:ind w:left="1956" w:hanging="339"/>
    </w:pPr>
    <w:rPr>
      <w:rFonts w:ascii="Trebuchet MS" w:hAnsi="Trebuchet MS" w:eastAsia="Trebuchet MS" w:cs="Trebuchet MS"/>
    </w:rPr>
  </w:style>
  <w:style w:styleId="TableParagraph" w:type="paragraph">
    <w:name w:val="Table Paragraph"/>
    <w:basedOn w:val="Normal"/>
    <w:uiPriority w:val="1"/>
    <w:qFormat/>
    <w:pPr>
      <w:spacing w:before="7" w:line="191" w:lineRule="exact"/>
      <w:jc w:val="center"/>
    </w:pPr>
    <w:rPr>
      <w:rFonts w:ascii="Trebuchet MS" w:hAnsi="Trebuchet MS" w:eastAsia="Trebuchet MS" w:cs="Trebuchet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samupuk@mautech.edu.ng" TargetMode="External"/><Relationship Id="rId9" Type="http://schemas.openxmlformats.org/officeDocument/2006/relationships/hyperlink" Target="http://www.ujmr.umyu.edu.n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hyperlink" Target="http://www.fao.org/" TargetMode="Externa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yperlink" Target="http://onlinelibrary.wiley.com/doi/10.11" TargetMode="External"/><Relationship Id="rId2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jmr.umyu.edu.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jmr.umyu.edu.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jmr.umyu.edu.n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jmr.umyu.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Aminu Bukar</dc:creator>
  <dc:title>47 - 54_UJMR 006 SALE, M</dc:title>
  <dcterms:created xsi:type="dcterms:W3CDTF">2023-07-24T15:02:44Z</dcterms:created>
  <dcterms:modified xsi:type="dcterms:W3CDTF">2023-07-24T15:02:44Z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PDFCreator Free 3.5.1</vt:lpwstr>
  </property>
  <property fmtid="{D5CDD505-2E9C-101B-9397-08002B2CF9AE}" pid="4" name="LastSaved">
    <vt:filetime>2023-07-24T00:00:00Z</vt:filetime>
  </property>
</Properties>
</file>